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49" w:rsidRPr="008F671D" w:rsidRDefault="006D6E49" w:rsidP="006D6E49">
      <w:pPr>
        <w:jc w:val="both"/>
        <w:rPr>
          <w:rFonts w:asciiTheme="minorHAnsi" w:hAnsiTheme="minorHAnsi" w:cs="Arial"/>
          <w:b/>
          <w:sz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97"/>
        <w:gridCol w:w="7201"/>
      </w:tblGrid>
      <w:tr w:rsidR="003E6FDF" w:rsidRPr="008F671D" w:rsidTr="00882FF5">
        <w:trPr>
          <w:trHeight w:val="39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3E6FDF" w:rsidRPr="00952736" w:rsidRDefault="00837F05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OLE_LINK1"/>
            <w:r w:rsidRPr="00952736">
              <w:rPr>
                <w:rFonts w:asciiTheme="minorHAnsi" w:hAnsiTheme="minorHAnsi"/>
                <w:b/>
                <w:sz w:val="20"/>
                <w:szCs w:val="20"/>
              </w:rPr>
              <w:t>Indicator</w:t>
            </w:r>
            <w:r w:rsidR="00FA749E" w:rsidRPr="00FA749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E3BC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30</w:t>
            </w:r>
            <w:r w:rsidR="00FA749E" w:rsidRPr="00FA749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E6FDF" w:rsidRPr="00952736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A749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1" w:type="dxa"/>
            <w:vAlign w:val="center"/>
          </w:tcPr>
          <w:p w:rsidR="00FB47D0" w:rsidRPr="00882FF5" w:rsidRDefault="003E3BCF" w:rsidP="00837F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t>Total Spend by External Visitors</w:t>
            </w:r>
          </w:p>
        </w:tc>
      </w:tr>
    </w:tbl>
    <w:p w:rsidR="00FB47D0" w:rsidRPr="008F671D" w:rsidRDefault="00FB47D0">
      <w:pPr>
        <w:rPr>
          <w:rFonts w:asciiTheme="minorHAnsi" w:hAnsiTheme="minorHAnsi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3E3BCF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Responsible Statistician: 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Jim McColgan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>, Department of Finance</w:t>
            </w:r>
          </w:p>
        </w:tc>
      </w:tr>
      <w:tr w:rsidR="003E3BCF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Web Link to Statistical Publication: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FA3AD4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https://www.nisra.gov.uk/statistics/tourism/external-overnight-trips-northern-ireland 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Frequency of update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:rsidR="00A85CFB" w:rsidRPr="008F671D" w:rsidRDefault="003E3BCF" w:rsidP="00823C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Quarterly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ime lag:</w:t>
            </w:r>
          </w:p>
        </w:tc>
        <w:tc>
          <w:tcPr>
            <w:tcW w:w="7229" w:type="dxa"/>
            <w:vAlign w:val="center"/>
          </w:tcPr>
          <w:p w:rsidR="00A85CFB" w:rsidRPr="008F671D" w:rsidRDefault="003E3BCF" w:rsidP="00823C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 months</w:t>
            </w:r>
          </w:p>
        </w:tc>
      </w:tr>
      <w:tr w:rsidR="003E3BCF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Data Source: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4D2C00">
              <w:rPr>
                <w:rFonts w:asciiTheme="minorHAnsi" w:hAnsiTheme="minorHAnsi"/>
                <w:sz w:val="20"/>
                <w:szCs w:val="20"/>
              </w:rPr>
              <w:t>3 sources are combined to create the estimates for external spend – (</w:t>
            </w:r>
            <w:proofErr w:type="spellStart"/>
            <w:r w:rsidRPr="004D2C00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4D2C00">
              <w:rPr>
                <w:rFonts w:asciiTheme="minorHAnsi" w:hAnsiTheme="minorHAnsi"/>
                <w:sz w:val="20"/>
                <w:szCs w:val="20"/>
              </w:rPr>
              <w:t>) Northern Ireland Passenger Survey (NISRA), (ii) Household Travel Survey (CSO), (iii) Survey of Overseas Travellers (</w:t>
            </w:r>
            <w:proofErr w:type="spellStart"/>
            <w:r w:rsidRPr="004D2C00">
              <w:rPr>
                <w:rFonts w:asciiTheme="minorHAnsi" w:hAnsiTheme="minorHAnsi"/>
                <w:sz w:val="20"/>
                <w:szCs w:val="20"/>
              </w:rPr>
              <w:t>Failte</w:t>
            </w:r>
            <w:proofErr w:type="spellEnd"/>
            <w:r w:rsidRPr="004D2C00">
              <w:rPr>
                <w:rFonts w:asciiTheme="minorHAnsi" w:hAnsiTheme="minorHAnsi"/>
                <w:sz w:val="20"/>
                <w:szCs w:val="20"/>
              </w:rPr>
              <w:t xml:space="preserve"> Ireland)</w:t>
            </w:r>
          </w:p>
        </w:tc>
      </w:tr>
      <w:tr w:rsidR="003E3BCF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National Statistics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Status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National Statistics</w:t>
            </w:r>
          </w:p>
        </w:tc>
      </w:tr>
      <w:tr w:rsidR="003E3BCF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Quality Report: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FA3AD4">
              <w:rPr>
                <w:rStyle w:val="Hyperlink"/>
                <w:rFonts w:asciiTheme="minorHAnsi" w:hAnsiTheme="minorHAnsi"/>
                <w:sz w:val="20"/>
                <w:szCs w:val="20"/>
              </w:rPr>
              <w:t>https://www.nisra.gov.uk/publications/tourism-statistics-data-quality</w:t>
            </w:r>
          </w:p>
        </w:tc>
      </w:tr>
      <w:tr w:rsidR="00A85CFB" w:rsidRPr="008F671D" w:rsidTr="00A85CFB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Historic Data available from:</w:t>
            </w:r>
          </w:p>
        </w:tc>
        <w:tc>
          <w:tcPr>
            <w:tcW w:w="7229" w:type="dxa"/>
            <w:vAlign w:val="center"/>
          </w:tcPr>
          <w:p w:rsidR="00A85CFB" w:rsidRPr="008F671D" w:rsidRDefault="00A85CFB" w:rsidP="00AE209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3E3BCF" w:rsidRPr="004D2C00">
              <w:rPr>
                <w:rFonts w:asciiTheme="minorHAnsi" w:hAnsiTheme="minorHAnsi"/>
                <w:sz w:val="20"/>
                <w:szCs w:val="20"/>
              </w:rPr>
              <w:t>January 2011</w:t>
            </w:r>
          </w:p>
        </w:tc>
      </w:tr>
      <w:tr w:rsidR="00A85CFB" w:rsidRPr="008F671D" w:rsidTr="00823C0A">
        <w:trPr>
          <w:trHeight w:val="436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4D6771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6771">
              <w:rPr>
                <w:rFonts w:asciiTheme="minorHAnsi" w:hAnsiTheme="minorHAnsi"/>
                <w:b/>
                <w:sz w:val="20"/>
                <w:szCs w:val="20"/>
              </w:rPr>
              <w:t xml:space="preserve">Time-series trend: </w:t>
            </w:r>
          </w:p>
          <w:p w:rsidR="00A85CFB" w:rsidRPr="00B8684A" w:rsidRDefault="00A85CFB" w:rsidP="00C06DF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A85CFB" w:rsidRPr="00B8684A" w:rsidRDefault="00A85CFB" w:rsidP="00C06DF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7229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E40122">
              <w:rPr>
                <w:rFonts w:asciiTheme="minorHAnsi" w:hAnsiTheme="minorHAnsi"/>
                <w:b/>
                <w:sz w:val="20"/>
                <w:szCs w:val="20"/>
              </w:rPr>
              <w:t>Total external visitors expenditure during overnight trips in NI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4"/>
              <w:gridCol w:w="952"/>
              <w:gridCol w:w="1345"/>
              <w:gridCol w:w="1571"/>
            </w:tblGrid>
            <w:tr w:rsidR="003E3BCF" w:rsidRPr="004D2C00" w:rsidTr="003E3BCF">
              <w:trPr>
                <w:trHeight w:val="581"/>
              </w:trPr>
              <w:tc>
                <w:tcPr>
                  <w:tcW w:w="1624" w:type="dxa"/>
                </w:tcPr>
                <w:p w:rsidR="003E3BCF" w:rsidRPr="00E40122" w:rsidRDefault="003E3BCF" w:rsidP="003E3BCF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bookmarkStart w:id="1" w:name="OLE_LINK2"/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Year</w:t>
                  </w:r>
                </w:p>
              </w:tc>
              <w:tc>
                <w:tcPr>
                  <w:tcW w:w="952" w:type="dxa"/>
                </w:tcPr>
                <w:p w:rsidR="003E3BCF" w:rsidRPr="00E40122" w:rsidRDefault="003E3BCF" w:rsidP="003E3BCF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Spend as reported (</w:t>
                  </w:r>
                  <w:r w:rsidRPr="00E40122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£m)</w:t>
                  </w:r>
                </w:p>
              </w:tc>
              <w:tc>
                <w:tcPr>
                  <w:tcW w:w="1345" w:type="dxa"/>
                </w:tcPr>
                <w:p w:rsidR="003E3BCF" w:rsidRPr="00FA3AD4" w:rsidRDefault="003E3BCF" w:rsidP="003E3BCF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Spend deflated by CPIH 2015 baseline(£m)</w:t>
                  </w:r>
                </w:p>
              </w:tc>
              <w:tc>
                <w:tcPr>
                  <w:tcW w:w="1571" w:type="dxa"/>
                </w:tcPr>
                <w:p w:rsidR="003E3BCF" w:rsidRPr="00FA3AD4" w:rsidRDefault="003E3BCF" w:rsidP="003E3BCF">
                  <w:pPr>
                    <w:jc w:val="right"/>
                    <w:rPr>
                      <w:rFonts w:asciiTheme="minorHAnsi" w:hAnsiTheme="minorHAnsi"/>
                      <w:b/>
                      <w:sz w:val="18"/>
                      <w:szCs w:val="20"/>
                    </w:rPr>
                  </w:pPr>
                  <w:r w:rsidRPr="00FA3AD4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Confidence interval (+/-</w:t>
                  </w:r>
                  <w:r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 xml:space="preserve"> </w:t>
                  </w:r>
                  <w:r w:rsidRPr="00FA3AD4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%)</w:t>
                  </w:r>
                </w:p>
              </w:tc>
            </w:tr>
            <w:tr w:rsidR="003E3BCF" w:rsidRPr="004D2C00" w:rsidTr="003E3BCF">
              <w:trPr>
                <w:trHeight w:val="303"/>
              </w:trPr>
              <w:tc>
                <w:tcPr>
                  <w:tcW w:w="1624" w:type="dxa"/>
                  <w:vAlign w:val="bottom"/>
                </w:tcPr>
                <w:p w:rsidR="003E3BCF" w:rsidRPr="00743B1C" w:rsidRDefault="003E3BCF" w:rsidP="003E3BC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952" w:type="dxa"/>
                  <w:vAlign w:val="bottom"/>
                </w:tcPr>
                <w:p w:rsidR="003E3BCF" w:rsidRPr="00743B1C" w:rsidRDefault="003E3BCF" w:rsidP="003E3BC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345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533</w:t>
                  </w:r>
                </w:p>
              </w:tc>
              <w:tc>
                <w:tcPr>
                  <w:tcW w:w="1571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A3AD4">
                    <w:rPr>
                      <w:rFonts w:ascii="Arial" w:hAnsi="Arial" w:cs="Arial"/>
                      <w:sz w:val="18"/>
                      <w:szCs w:val="20"/>
                    </w:rPr>
                    <w:t>14.4%</w:t>
                  </w:r>
                </w:p>
              </w:tc>
            </w:tr>
            <w:tr w:rsidR="003E3BCF" w:rsidRPr="004D2C00" w:rsidTr="003E3BCF">
              <w:trPr>
                <w:trHeight w:val="303"/>
              </w:trPr>
              <w:tc>
                <w:tcPr>
                  <w:tcW w:w="1624" w:type="dxa"/>
                  <w:vAlign w:val="bottom"/>
                </w:tcPr>
                <w:p w:rsidR="003E3BCF" w:rsidRPr="00743B1C" w:rsidRDefault="003E3BCF" w:rsidP="003E3BC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952" w:type="dxa"/>
                  <w:vAlign w:val="bottom"/>
                </w:tcPr>
                <w:p w:rsidR="003E3BCF" w:rsidRPr="00743B1C" w:rsidRDefault="003E3BCF" w:rsidP="003E3BC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345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509</w:t>
                  </w:r>
                </w:p>
              </w:tc>
              <w:tc>
                <w:tcPr>
                  <w:tcW w:w="1571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A3AD4">
                    <w:rPr>
                      <w:rFonts w:ascii="Arial" w:hAnsi="Arial" w:cs="Arial"/>
                      <w:sz w:val="18"/>
                      <w:szCs w:val="20"/>
                    </w:rPr>
                    <w:t>7.0%</w:t>
                  </w:r>
                </w:p>
              </w:tc>
            </w:tr>
            <w:tr w:rsidR="003E3BCF" w:rsidRPr="004D2C00" w:rsidTr="003E3BCF">
              <w:trPr>
                <w:trHeight w:val="303"/>
              </w:trPr>
              <w:tc>
                <w:tcPr>
                  <w:tcW w:w="1624" w:type="dxa"/>
                  <w:vAlign w:val="bottom"/>
                </w:tcPr>
                <w:p w:rsidR="003E3BCF" w:rsidRPr="00743B1C" w:rsidRDefault="003E3BCF" w:rsidP="003E3BC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952" w:type="dxa"/>
                  <w:vAlign w:val="bottom"/>
                </w:tcPr>
                <w:p w:rsidR="003E3BCF" w:rsidRPr="00743B1C" w:rsidRDefault="003E3BCF" w:rsidP="003E3BC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345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544</w:t>
                  </w:r>
                </w:p>
              </w:tc>
              <w:tc>
                <w:tcPr>
                  <w:tcW w:w="1571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A3AD4">
                    <w:rPr>
                      <w:rFonts w:ascii="Arial" w:hAnsi="Arial" w:cs="Arial"/>
                      <w:sz w:val="18"/>
                      <w:szCs w:val="20"/>
                    </w:rPr>
                    <w:t>7.9%</w:t>
                  </w:r>
                </w:p>
              </w:tc>
            </w:tr>
            <w:tr w:rsidR="003E3BCF" w:rsidRPr="004D2C00" w:rsidTr="003E3BCF">
              <w:trPr>
                <w:trHeight w:val="303"/>
              </w:trPr>
              <w:tc>
                <w:tcPr>
                  <w:tcW w:w="1624" w:type="dxa"/>
                  <w:vAlign w:val="bottom"/>
                </w:tcPr>
                <w:p w:rsidR="003E3BCF" w:rsidRPr="00743B1C" w:rsidRDefault="003E3BCF" w:rsidP="003E3BC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52" w:type="dxa"/>
                  <w:vAlign w:val="bottom"/>
                </w:tcPr>
                <w:p w:rsidR="003E3BCF" w:rsidRPr="00743B1C" w:rsidRDefault="003E3BCF" w:rsidP="003E3BC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345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607</w:t>
                  </w:r>
                </w:p>
              </w:tc>
              <w:tc>
                <w:tcPr>
                  <w:tcW w:w="1571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A3AD4">
                    <w:rPr>
                      <w:rFonts w:ascii="Arial" w:hAnsi="Arial" w:cs="Arial"/>
                      <w:sz w:val="18"/>
                      <w:szCs w:val="20"/>
                    </w:rPr>
                    <w:t>9.4%</w:t>
                  </w:r>
                </w:p>
              </w:tc>
            </w:tr>
            <w:tr w:rsidR="003E3BCF" w:rsidRPr="004D2C00" w:rsidTr="003E3BCF">
              <w:trPr>
                <w:trHeight w:val="303"/>
              </w:trPr>
              <w:tc>
                <w:tcPr>
                  <w:tcW w:w="1624" w:type="dxa"/>
                  <w:vAlign w:val="bottom"/>
                </w:tcPr>
                <w:p w:rsidR="003E3BCF" w:rsidRPr="00743B1C" w:rsidRDefault="003E3BCF" w:rsidP="003E3BC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52" w:type="dxa"/>
                  <w:vAlign w:val="bottom"/>
                </w:tcPr>
                <w:p w:rsidR="003E3BCF" w:rsidRPr="00743B1C" w:rsidRDefault="003E3BCF" w:rsidP="003E3BC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345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633</w:t>
                  </w:r>
                </w:p>
              </w:tc>
              <w:tc>
                <w:tcPr>
                  <w:tcW w:w="1571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A3AD4">
                    <w:rPr>
                      <w:rFonts w:ascii="Arial" w:hAnsi="Arial" w:cs="Arial"/>
                      <w:sz w:val="18"/>
                      <w:szCs w:val="20"/>
                    </w:rPr>
                    <w:t>7.2%</w:t>
                  </w:r>
                </w:p>
              </w:tc>
            </w:tr>
            <w:tr w:rsidR="003E3BCF" w:rsidRPr="004D2C00" w:rsidTr="003E3BCF">
              <w:trPr>
                <w:trHeight w:val="303"/>
              </w:trPr>
              <w:tc>
                <w:tcPr>
                  <w:tcW w:w="1624" w:type="dxa"/>
                  <w:vAlign w:val="bottom"/>
                </w:tcPr>
                <w:p w:rsidR="003E3BCF" w:rsidRPr="00743B1C" w:rsidRDefault="003E3BCF" w:rsidP="003E3BC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52" w:type="dxa"/>
                  <w:vAlign w:val="bottom"/>
                </w:tcPr>
                <w:p w:rsidR="003E3BCF" w:rsidRPr="00743B1C" w:rsidRDefault="003E3BCF" w:rsidP="003E3BC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43B1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345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631</w:t>
                  </w:r>
                </w:p>
              </w:tc>
              <w:tc>
                <w:tcPr>
                  <w:tcW w:w="1571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A3AD4">
                    <w:rPr>
                      <w:rFonts w:ascii="Arial" w:hAnsi="Arial" w:cs="Arial"/>
                      <w:sz w:val="18"/>
                      <w:szCs w:val="20"/>
                    </w:rPr>
                    <w:t>5.4%</w:t>
                  </w:r>
                </w:p>
              </w:tc>
            </w:tr>
            <w:tr w:rsidR="003E3BCF" w:rsidRPr="004D2C00" w:rsidTr="003E3BCF">
              <w:trPr>
                <w:trHeight w:val="303"/>
              </w:trPr>
              <w:tc>
                <w:tcPr>
                  <w:tcW w:w="1624" w:type="dxa"/>
                  <w:vAlign w:val="bottom"/>
                </w:tcPr>
                <w:p w:rsidR="003E3BCF" w:rsidRPr="00743B1C" w:rsidRDefault="003E3BCF" w:rsidP="003E3BC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52" w:type="dxa"/>
                  <w:vAlign w:val="bottom"/>
                </w:tcPr>
                <w:p w:rsidR="003E3BCF" w:rsidRPr="00743B1C" w:rsidRDefault="003E3BCF" w:rsidP="003E3BC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1345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687</w:t>
                  </w:r>
                </w:p>
              </w:tc>
              <w:tc>
                <w:tcPr>
                  <w:tcW w:w="1571" w:type="dxa"/>
                  <w:vAlign w:val="bottom"/>
                </w:tcPr>
                <w:p w:rsidR="003E3BCF" w:rsidRPr="00FA3AD4" w:rsidRDefault="003E3BCF" w:rsidP="003E3BCF">
                  <w:pPr>
                    <w:jc w:val="right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5.7%</w:t>
                  </w:r>
                </w:p>
              </w:tc>
            </w:tr>
            <w:bookmarkEnd w:id="1"/>
          </w:tbl>
          <w:p w:rsidR="00A85CFB" w:rsidRPr="00B8684A" w:rsidRDefault="00A85CFB" w:rsidP="00823C0A">
            <w:pPr>
              <w:rPr>
                <w:rFonts w:asciiTheme="minorHAnsi" w:hAnsiTheme="minorHAnsi"/>
                <w:sz w:val="20"/>
                <w:highlight w:val="yellow"/>
              </w:rPr>
            </w:pPr>
          </w:p>
          <w:p w:rsidR="00A85CFB" w:rsidRPr="00B8684A" w:rsidRDefault="00A85CFB" w:rsidP="00952736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77F2C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85CFB" w:rsidRPr="008F671D" w:rsidTr="00952736">
        <w:trPr>
          <w:trHeight w:val="68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For Survey Data </w:t>
            </w:r>
          </w:p>
          <w:p w:rsidR="00A85CFB" w:rsidRPr="00345E2E" w:rsidRDefault="00A85CFB" w:rsidP="00C06D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ample size and confidence interval for the latest available year:</w:t>
            </w:r>
          </w:p>
        </w:tc>
        <w:tc>
          <w:tcPr>
            <w:tcW w:w="7229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estimates for external overnight spend are taken from 3 surveys: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E3BCF" w:rsidRPr="00743B1C" w:rsidRDefault="003E3BCF" w:rsidP="003E3BCF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43B1C">
              <w:rPr>
                <w:rFonts w:asciiTheme="minorHAnsi" w:hAnsiTheme="minorHAnsi"/>
                <w:sz w:val="20"/>
                <w:szCs w:val="20"/>
              </w:rPr>
              <w:t xml:space="preserve">Northern Ireland Passenger Survey </w:t>
            </w:r>
            <w:r>
              <w:rPr>
                <w:rFonts w:asciiTheme="minorHAnsi" w:hAnsiTheme="minorHAnsi"/>
                <w:sz w:val="20"/>
                <w:szCs w:val="20"/>
              </w:rPr>
              <w:t>(NISRA)</w:t>
            </w:r>
          </w:p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Sample size: 45,0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people, of which 13,100 had overnight trips in NI.</w:t>
            </w:r>
          </w:p>
          <w:p w:rsidR="003E3BCF" w:rsidRDefault="003E3BCF" w:rsidP="003E3BCF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43B1C">
              <w:rPr>
                <w:rFonts w:asciiTheme="minorHAnsi" w:hAnsiTheme="minorHAnsi"/>
                <w:sz w:val="20"/>
                <w:szCs w:val="20"/>
              </w:rPr>
              <w:t xml:space="preserve">The Household Travel Survey (CSO) </w:t>
            </w:r>
          </w:p>
          <w:p w:rsidR="003E3BCF" w:rsidRDefault="003E3BCF" w:rsidP="003E3BCF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Sample size:</w:t>
            </w:r>
            <w:r w:rsidRPr="00743B1C">
              <w:rPr>
                <w:rFonts w:asciiTheme="minorHAnsi" w:hAnsiTheme="minorHAnsi"/>
                <w:sz w:val="20"/>
                <w:szCs w:val="20"/>
              </w:rPr>
              <w:t xml:space="preserve"> 59,000 people</w:t>
            </w:r>
            <w:r>
              <w:rPr>
                <w:rFonts w:asciiTheme="minorHAnsi" w:hAnsiTheme="minorHAnsi"/>
                <w:sz w:val="20"/>
                <w:szCs w:val="20"/>
              </w:rPr>
              <w:t>, but only</w:t>
            </w:r>
            <w:r w:rsidRPr="00743B1C">
              <w:rPr>
                <w:rFonts w:asciiTheme="minorHAnsi" w:hAnsiTheme="minorHAnsi"/>
                <w:sz w:val="20"/>
                <w:szCs w:val="20"/>
              </w:rPr>
              <w:t xml:space="preserve"> around 400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involved </w:t>
            </w:r>
            <w:r w:rsidRPr="00743B1C">
              <w:rPr>
                <w:rFonts w:asciiTheme="minorHAnsi" w:hAnsiTheme="minorHAnsi"/>
                <w:sz w:val="20"/>
                <w:szCs w:val="20"/>
              </w:rPr>
              <w:t xml:space="preserve">overnight trips to NI.  </w:t>
            </w:r>
          </w:p>
          <w:p w:rsidR="003E3BCF" w:rsidRDefault="003E3BCF" w:rsidP="003E3BCF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43B1C">
              <w:rPr>
                <w:rFonts w:asciiTheme="minorHAnsi" w:hAnsiTheme="minorHAnsi"/>
                <w:sz w:val="20"/>
                <w:szCs w:val="20"/>
              </w:rPr>
              <w:t xml:space="preserve">Survey of Overseas Travellers (FI).  </w:t>
            </w:r>
          </w:p>
          <w:p w:rsidR="003E3BCF" w:rsidRPr="00743B1C" w:rsidRDefault="003E3BCF" w:rsidP="003E3BCF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Sample size: </w:t>
            </w:r>
            <w:r w:rsidRPr="00743B1C">
              <w:rPr>
                <w:rFonts w:asciiTheme="minorHAnsi" w:hAnsiTheme="minorHAnsi"/>
                <w:sz w:val="20"/>
                <w:szCs w:val="20"/>
              </w:rPr>
              <w:t>21,000 people</w:t>
            </w:r>
            <w:r>
              <w:rPr>
                <w:rFonts w:asciiTheme="minorHAnsi" w:hAnsiTheme="minorHAnsi"/>
                <w:sz w:val="20"/>
                <w:szCs w:val="20"/>
              </w:rPr>
              <w:t>, but only</w:t>
            </w:r>
            <w:r w:rsidRPr="00743B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700</w:t>
            </w:r>
            <w:r w:rsidRPr="00743B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involved overnight</w:t>
            </w:r>
            <w:r w:rsidRPr="00743B1C">
              <w:rPr>
                <w:rFonts w:asciiTheme="minorHAnsi" w:hAnsiTheme="minorHAnsi"/>
                <w:sz w:val="20"/>
                <w:szCs w:val="20"/>
              </w:rPr>
              <w:t xml:space="preserve"> trips within NI.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confidence intervals are estimated using the actual standard errors from the NIPS and derived standard errors from the other 2 surveys.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2019 the confidence interval was: 5.7%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This means around the deflated figures  - 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Lower limit: £647m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 value: £687m</w:t>
            </w:r>
          </w:p>
          <w:p w:rsidR="00A85CFB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Upper limit: £726m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Around the figures as reported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Lower limit: £689m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 value: £731m</w:t>
            </w:r>
          </w:p>
          <w:p w:rsidR="003E3BCF" w:rsidRPr="008F671D" w:rsidRDefault="003E3BCF" w:rsidP="003E3B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Upper limit: 773m</w:t>
            </w:r>
          </w:p>
        </w:tc>
      </w:tr>
      <w:tr w:rsidR="00977923" w:rsidRPr="008F671D" w:rsidTr="0095273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77923" w:rsidRPr="008F671D" w:rsidRDefault="00977923" w:rsidP="00FB47D0">
            <w:pPr>
              <w:rPr>
                <w:rFonts w:asciiTheme="minorHAnsi" w:hAnsiTheme="minorHAnsi"/>
                <w:b/>
                <w:sz w:val="20"/>
              </w:rPr>
            </w:pPr>
            <w:r w:rsidRPr="008F671D">
              <w:rPr>
                <w:rFonts w:asciiTheme="minorHAnsi" w:hAnsiTheme="minorHAnsi"/>
                <w:b/>
                <w:sz w:val="20"/>
              </w:rPr>
              <w:t>Please indicate whether UK/</w:t>
            </w:r>
            <w:proofErr w:type="spellStart"/>
            <w:r w:rsidRPr="008F671D">
              <w:rPr>
                <w:rFonts w:asciiTheme="minorHAnsi" w:hAnsiTheme="minorHAnsi"/>
                <w:b/>
                <w:sz w:val="20"/>
              </w:rPr>
              <w:t>R</w:t>
            </w:r>
            <w:r w:rsidR="00FB47D0" w:rsidRPr="008F671D">
              <w:rPr>
                <w:rFonts w:asciiTheme="minorHAnsi" w:hAnsiTheme="minorHAnsi"/>
                <w:b/>
                <w:sz w:val="20"/>
              </w:rPr>
              <w:t>o</w:t>
            </w:r>
            <w:r w:rsidRPr="008F671D">
              <w:rPr>
                <w:rFonts w:asciiTheme="minorHAnsi" w:hAnsiTheme="minorHAnsi"/>
                <w:b/>
                <w:sz w:val="20"/>
              </w:rPr>
              <w:t>I</w:t>
            </w:r>
            <w:proofErr w:type="spellEnd"/>
            <w:r w:rsidRPr="008F671D">
              <w:rPr>
                <w:rFonts w:asciiTheme="minorHAnsi" w:hAnsiTheme="minorHAnsi"/>
                <w:b/>
                <w:sz w:val="20"/>
              </w:rPr>
              <w:t>/International Comparisons are available</w:t>
            </w:r>
            <w:r w:rsidR="00FB47D0" w:rsidRPr="008F671D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4D2C00">
              <w:rPr>
                <w:rFonts w:asciiTheme="minorHAnsi" w:hAnsiTheme="minorHAnsi"/>
                <w:sz w:val="20"/>
                <w:szCs w:val="20"/>
              </w:rPr>
              <w:t>UK: Yes</w:t>
            </w:r>
          </w:p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4D2C00">
              <w:rPr>
                <w:rFonts w:asciiTheme="minorHAnsi" w:hAnsiTheme="minorHAnsi"/>
                <w:sz w:val="20"/>
                <w:szCs w:val="20"/>
              </w:rPr>
              <w:t>UK Regional: Yes</w:t>
            </w:r>
          </w:p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D2C00">
              <w:rPr>
                <w:rFonts w:asciiTheme="minorHAnsi" w:hAnsiTheme="minorHAnsi"/>
                <w:sz w:val="20"/>
                <w:szCs w:val="20"/>
              </w:rPr>
              <w:t>RoI</w:t>
            </w:r>
            <w:proofErr w:type="spellEnd"/>
            <w:r w:rsidRPr="004D2C00">
              <w:rPr>
                <w:rFonts w:asciiTheme="minorHAnsi" w:hAnsiTheme="minorHAnsi"/>
                <w:sz w:val="20"/>
                <w:szCs w:val="20"/>
              </w:rPr>
              <w:t xml:space="preserve">: Yes </w:t>
            </w:r>
          </w:p>
          <w:p w:rsidR="000E75A3" w:rsidRDefault="003E3BCF" w:rsidP="003E3BCF">
            <w:pPr>
              <w:rPr>
                <w:rFonts w:asciiTheme="minorHAnsi" w:hAnsiTheme="minorHAnsi"/>
                <w:sz w:val="20"/>
              </w:rPr>
            </w:pPr>
            <w:r w:rsidRPr="004D2C00">
              <w:rPr>
                <w:rFonts w:asciiTheme="minorHAnsi" w:hAnsiTheme="minorHAnsi"/>
                <w:sz w:val="20"/>
                <w:szCs w:val="20"/>
              </w:rPr>
              <w:t xml:space="preserve">International (please specify countries):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Yes (European 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>countries</w:t>
            </w:r>
            <w:r>
              <w:rPr>
                <w:rFonts w:asciiTheme="minorHAnsi" w:hAnsiTheme="minorHAnsi"/>
                <w:sz w:val="20"/>
                <w:szCs w:val="20"/>
              </w:rPr>
              <w:t>), America, Australia</w:t>
            </w:r>
          </w:p>
          <w:p w:rsidR="00404AD8" w:rsidRDefault="00404AD8" w:rsidP="000E75A3">
            <w:pPr>
              <w:rPr>
                <w:rFonts w:asciiTheme="minorHAnsi" w:hAnsiTheme="minorHAnsi"/>
                <w:sz w:val="20"/>
              </w:rPr>
            </w:pPr>
          </w:p>
          <w:p w:rsidR="003E3BCF" w:rsidRPr="008F671D" w:rsidRDefault="003E3BCF" w:rsidP="000E75A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Note: These others have not been deflated. There may be seasonally adjusted figure too</w:t>
            </w:r>
          </w:p>
        </w:tc>
      </w:tr>
      <w:tr w:rsidR="00977923" w:rsidRPr="008F671D" w:rsidTr="00952736">
        <w:trPr>
          <w:trHeight w:val="113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77923" w:rsidRPr="008F671D" w:rsidRDefault="001668A0" w:rsidP="001849F8">
            <w:pPr>
              <w:rPr>
                <w:rFonts w:asciiTheme="minorHAnsi" w:hAnsiTheme="minorHAnsi"/>
                <w:b/>
                <w:sz w:val="20"/>
              </w:rPr>
            </w:pPr>
            <w:r w:rsidRPr="008F671D">
              <w:rPr>
                <w:rFonts w:asciiTheme="minorHAnsi" w:hAnsiTheme="minorHAnsi"/>
                <w:b/>
                <w:sz w:val="20"/>
              </w:rPr>
              <w:t>Please specify</w:t>
            </w:r>
            <w:r w:rsidR="00977923" w:rsidRPr="008F671D">
              <w:rPr>
                <w:rFonts w:asciiTheme="minorHAnsi" w:hAnsiTheme="minorHAnsi"/>
                <w:b/>
                <w:sz w:val="20"/>
              </w:rPr>
              <w:t xml:space="preserve"> any</w:t>
            </w:r>
            <w:r w:rsidR="001849F8">
              <w:rPr>
                <w:rFonts w:asciiTheme="minorHAnsi" w:hAnsiTheme="minorHAnsi"/>
                <w:b/>
                <w:sz w:val="20"/>
              </w:rPr>
              <w:t xml:space="preserve"> issues </w:t>
            </w:r>
            <w:r w:rsidR="00977923" w:rsidRPr="008F671D">
              <w:rPr>
                <w:rFonts w:asciiTheme="minorHAnsi" w:hAnsiTheme="minorHAnsi"/>
                <w:b/>
                <w:sz w:val="20"/>
              </w:rPr>
              <w:t xml:space="preserve">in relation to </w:t>
            </w:r>
            <w:r w:rsidR="001849F8">
              <w:rPr>
                <w:rFonts w:asciiTheme="minorHAnsi" w:hAnsiTheme="minorHAnsi"/>
                <w:b/>
                <w:sz w:val="20"/>
              </w:rPr>
              <w:t xml:space="preserve">this data. For example, data limitations, future </w:t>
            </w:r>
            <w:r w:rsidR="00977923" w:rsidRPr="008F671D">
              <w:rPr>
                <w:rFonts w:asciiTheme="minorHAnsi" w:hAnsiTheme="minorHAnsi"/>
                <w:b/>
                <w:sz w:val="20"/>
              </w:rPr>
              <w:t>data availability</w:t>
            </w:r>
            <w:r w:rsidR="001849F8">
              <w:rPr>
                <w:rFonts w:asciiTheme="minorHAnsi" w:hAnsiTheme="minorHAnsi"/>
                <w:b/>
                <w:sz w:val="20"/>
              </w:rPr>
              <w:t>, any</w:t>
            </w:r>
            <w:r w:rsidR="00977923" w:rsidRPr="008F671D">
              <w:rPr>
                <w:rFonts w:asciiTheme="minorHAnsi" w:hAnsiTheme="minorHAnsi"/>
                <w:b/>
                <w:sz w:val="20"/>
              </w:rPr>
              <w:t xml:space="preserve"> changes to methodology </w:t>
            </w:r>
          </w:p>
        </w:tc>
        <w:tc>
          <w:tcPr>
            <w:tcW w:w="7229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4D2C00">
              <w:rPr>
                <w:rFonts w:asciiTheme="minorHAnsi" w:hAnsiTheme="minorHAnsi"/>
                <w:sz w:val="20"/>
                <w:szCs w:val="20"/>
              </w:rPr>
              <w:t>NISRA use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 xml:space="preserve"> information on visitors to NI from sources outside of its remit (currently Survey of Overseas Travellers from </w:t>
            </w:r>
            <w:proofErr w:type="spellStart"/>
            <w:r w:rsidRPr="004D2C00">
              <w:rPr>
                <w:rFonts w:asciiTheme="minorHAnsi" w:hAnsiTheme="minorHAnsi"/>
                <w:sz w:val="20"/>
                <w:szCs w:val="20"/>
              </w:rPr>
              <w:t>Failte</w:t>
            </w:r>
            <w:proofErr w:type="spellEnd"/>
            <w:r w:rsidRPr="004D2C00">
              <w:rPr>
                <w:rFonts w:asciiTheme="minorHAnsi" w:hAnsiTheme="minorHAnsi"/>
                <w:sz w:val="20"/>
                <w:szCs w:val="20"/>
              </w:rPr>
              <w:t xml:space="preserve"> Ireland and Household Travel Survey from CSO). 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 full access to raw data is not available for the SOT or HTS, confidence intervals are derived using a number of assumptions based on patterns seen in the NIPS and the Continuous Household Survey.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E386D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4D2C00">
              <w:rPr>
                <w:rFonts w:asciiTheme="minorHAnsi" w:hAnsiTheme="minorHAnsi"/>
                <w:sz w:val="20"/>
                <w:szCs w:val="20"/>
              </w:rPr>
              <w:t xml:space="preserve">There is also an alternative source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being developed 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 xml:space="preserve">for visitors to NI through </w:t>
            </w:r>
            <w:proofErr w:type="spellStart"/>
            <w:r w:rsidRPr="004D2C00">
              <w:rPr>
                <w:rFonts w:asciiTheme="minorHAnsi" w:hAnsiTheme="minorHAnsi"/>
                <w:sz w:val="20"/>
                <w:szCs w:val="20"/>
              </w:rPr>
              <w:t>RoI</w:t>
            </w:r>
            <w:proofErr w:type="spellEnd"/>
            <w:r w:rsidRPr="004D2C00">
              <w:rPr>
                <w:rFonts w:asciiTheme="minorHAnsi" w:hAnsiTheme="minorHAnsi"/>
                <w:sz w:val="20"/>
                <w:szCs w:val="20"/>
              </w:rPr>
              <w:t xml:space="preserve"> ports </w:t>
            </w:r>
            <w:r>
              <w:rPr>
                <w:rFonts w:asciiTheme="minorHAnsi" w:hAnsiTheme="minorHAnsi"/>
                <w:sz w:val="20"/>
                <w:szCs w:val="20"/>
              </w:rPr>
              <w:t>by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 xml:space="preserve"> us</w:t>
            </w:r>
            <w:r>
              <w:rPr>
                <w:rFonts w:asciiTheme="minorHAnsi" w:hAnsiTheme="minorHAnsi"/>
                <w:sz w:val="20"/>
                <w:szCs w:val="20"/>
              </w:rPr>
              <w:t>ing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 xml:space="preserve"> the Passenger Card Inquiry run by CSO</w:t>
            </w:r>
            <w:r>
              <w:rPr>
                <w:rFonts w:asciiTheme="minorHAnsi" w:hAnsiTheme="minorHAnsi"/>
                <w:sz w:val="20"/>
                <w:szCs w:val="20"/>
              </w:rPr>
              <w:t>. This is expected to produce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 xml:space="preserve"> estimates for visito</w:t>
            </w:r>
            <w:r>
              <w:rPr>
                <w:rFonts w:asciiTheme="minorHAnsi" w:hAnsiTheme="minorHAnsi"/>
                <w:sz w:val="20"/>
                <w:szCs w:val="20"/>
              </w:rPr>
              <w:t>rs to NI</w:t>
            </w:r>
            <w:r w:rsidRPr="004D2C0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date for completion of this work is as yet unknown.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Due to COVID 19, all face to face interviews have been suspended from middle of March 2019 so there will be no comparable data beyond Q4 2019. 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E3BCF" w:rsidRPr="008F671D" w:rsidRDefault="003E3BCF" w:rsidP="003E3B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This is the first update using CPIH to deflate the external spend as requested in TAP</w:t>
            </w:r>
          </w:p>
        </w:tc>
      </w:tr>
      <w:tr w:rsidR="003E3BCF" w:rsidRPr="008F671D" w:rsidTr="003E3BCF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E3BCF" w:rsidRPr="00907690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07690">
              <w:rPr>
                <w:rFonts w:asciiTheme="minorHAnsi" w:hAnsiTheme="minorHAnsi"/>
                <w:b/>
                <w:sz w:val="20"/>
                <w:szCs w:val="20"/>
              </w:rPr>
              <w:t>Is this measure being used to monitor performance against your current/latest Departmental/ Agency Plan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4D2C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3E3BCF" w:rsidRPr="008F671D" w:rsidTr="003E3BC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E3BCF" w:rsidRPr="00907690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07690">
              <w:rPr>
                <w:rFonts w:asciiTheme="minorHAnsi" w:hAnsiTheme="minorHAnsi"/>
                <w:b/>
                <w:sz w:val="20"/>
                <w:szCs w:val="20"/>
              </w:rPr>
              <w:t>If yes, please specify any particular baseline point/year for the measure which is being for performance monitoring purposes</w:t>
            </w:r>
          </w:p>
        </w:tc>
        <w:tc>
          <w:tcPr>
            <w:tcW w:w="7229" w:type="dxa"/>
            <w:vAlign w:val="center"/>
          </w:tcPr>
          <w:p w:rsidR="003E3BCF" w:rsidRPr="004D2C00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D2C00">
              <w:rPr>
                <w:rFonts w:asciiTheme="minorHAnsi" w:hAnsiTheme="minorHAnsi"/>
                <w:sz w:val="20"/>
                <w:szCs w:val="20"/>
              </w:rPr>
              <w:t>PfG</w:t>
            </w:r>
            <w:proofErr w:type="spellEnd"/>
            <w:r w:rsidRPr="004D2C00">
              <w:rPr>
                <w:rFonts w:asciiTheme="minorHAnsi" w:hAnsiTheme="minorHAnsi"/>
                <w:sz w:val="20"/>
                <w:szCs w:val="20"/>
              </w:rPr>
              <w:t xml:space="preserve"> target aimed to increase visitor numbers to 4.2 million and tourist revenue to £676 million by December 2014. There is a Tourism Strategy which aims to increase expenditure on overn</w:t>
            </w:r>
            <w:r>
              <w:rPr>
                <w:rFonts w:asciiTheme="minorHAnsi" w:hAnsiTheme="minorHAnsi"/>
                <w:sz w:val="20"/>
                <w:szCs w:val="20"/>
              </w:rPr>
              <w:t>ight trips to £1billion by 2020, but this strategy is not yet published.</w:t>
            </w:r>
          </w:p>
        </w:tc>
      </w:tr>
    </w:tbl>
    <w:p w:rsidR="005B441A" w:rsidRDefault="005B441A" w:rsidP="005B441A">
      <w:pPr>
        <w:rPr>
          <w:rFonts w:asciiTheme="minorHAnsi" w:hAnsiTheme="minorHAnsi"/>
          <w:sz w:val="20"/>
          <w:szCs w:val="20"/>
        </w:rPr>
      </w:pPr>
    </w:p>
    <w:tbl>
      <w:tblPr>
        <w:tblStyle w:val="TableGrid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5B441A" w:rsidRPr="00DC13FC" w:rsidTr="005B441A">
        <w:tc>
          <w:tcPr>
            <w:tcW w:w="3402" w:type="dxa"/>
            <w:shd w:val="clear" w:color="auto" w:fill="D9D9D9" w:themeFill="background1" w:themeFillShade="D9"/>
          </w:tcPr>
          <w:p w:rsidR="005B441A" w:rsidRPr="00DC13FC" w:rsidRDefault="005B441A" w:rsidP="00F945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Technical Assessment Panel</w:t>
            </w:r>
          </w:p>
        </w:tc>
        <w:tc>
          <w:tcPr>
            <w:tcW w:w="7230" w:type="dxa"/>
          </w:tcPr>
          <w:p w:rsidR="005B441A" w:rsidRPr="00DC13FC" w:rsidRDefault="005B441A" w:rsidP="00F945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DC13FC" w:rsidTr="005B441A">
        <w:tc>
          <w:tcPr>
            <w:tcW w:w="3402" w:type="dxa"/>
            <w:shd w:val="clear" w:color="auto" w:fill="D9D9D9" w:themeFill="background1" w:themeFillShade="D9"/>
          </w:tcPr>
          <w:p w:rsidR="003E3BCF" w:rsidRPr="00DC13FC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Baseline Year</w:t>
            </w:r>
          </w:p>
        </w:tc>
        <w:tc>
          <w:tcPr>
            <w:tcW w:w="7230" w:type="dxa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</w:tr>
      <w:tr w:rsidR="003E3BCF" w:rsidRPr="00DC13FC" w:rsidTr="005B441A">
        <w:trPr>
          <w:trHeight w:val="496"/>
        </w:trPr>
        <w:tc>
          <w:tcPr>
            <w:tcW w:w="3402" w:type="dxa"/>
            <w:shd w:val="clear" w:color="auto" w:fill="D9D9D9" w:themeFill="background1" w:themeFillShade="D9"/>
          </w:tcPr>
          <w:p w:rsidR="003E3BCF" w:rsidRPr="00DC13FC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13FC">
              <w:rPr>
                <w:rFonts w:asciiTheme="minorHAnsi" w:hAnsiTheme="minorHAnsi"/>
                <w:b/>
                <w:sz w:val="20"/>
                <w:szCs w:val="20"/>
              </w:rPr>
              <w:t>Criteria for reporting change from the baseline</w:t>
            </w:r>
          </w:p>
        </w:tc>
        <w:tc>
          <w:tcPr>
            <w:tcW w:w="7230" w:type="dxa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statistically significant change</w:t>
            </w:r>
          </w:p>
        </w:tc>
      </w:tr>
    </w:tbl>
    <w:p w:rsidR="005B441A" w:rsidRPr="008F671D" w:rsidRDefault="005B441A">
      <w:pPr>
        <w:rPr>
          <w:rFonts w:asciiTheme="minorHAnsi" w:hAnsiTheme="minorHAnsi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4219"/>
        <w:gridCol w:w="903"/>
        <w:gridCol w:w="4536"/>
      </w:tblGrid>
      <w:tr w:rsidR="00BD4124" w:rsidRPr="008F671D" w:rsidTr="00823C0A">
        <w:trPr>
          <w:trHeight w:val="454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D4124" w:rsidRPr="008F671D" w:rsidRDefault="00823C0A" w:rsidP="00FB47D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Available groupings*</w:t>
            </w:r>
          </w:p>
        </w:tc>
        <w:tc>
          <w:tcPr>
            <w:tcW w:w="903" w:type="dxa"/>
            <w:vAlign w:val="center"/>
          </w:tcPr>
          <w:p w:rsidR="00BD4124" w:rsidRPr="00F81E8B" w:rsidRDefault="00BD4124" w:rsidP="00F81E8B">
            <w:pPr>
              <w:rPr>
                <w:rFonts w:asciiTheme="minorHAnsi" w:hAnsiTheme="minorHAnsi"/>
                <w:b/>
                <w:sz w:val="20"/>
              </w:rPr>
            </w:pPr>
            <w:r w:rsidRPr="00F81E8B">
              <w:rPr>
                <w:rFonts w:asciiTheme="minorHAnsi" w:hAnsiTheme="minorHAnsi"/>
                <w:b/>
                <w:sz w:val="20"/>
              </w:rPr>
              <w:t>Yes/No</w:t>
            </w:r>
          </w:p>
        </w:tc>
        <w:tc>
          <w:tcPr>
            <w:tcW w:w="4536" w:type="dxa"/>
            <w:vAlign w:val="center"/>
          </w:tcPr>
          <w:p w:rsidR="00BD4124" w:rsidRPr="00F81E8B" w:rsidRDefault="00BD4124" w:rsidP="00F81E8B">
            <w:pPr>
              <w:rPr>
                <w:rFonts w:asciiTheme="minorHAnsi" w:hAnsiTheme="minorHAnsi"/>
                <w:b/>
                <w:sz w:val="20"/>
              </w:rPr>
            </w:pPr>
            <w:r w:rsidRPr="00F81E8B">
              <w:rPr>
                <w:rFonts w:asciiTheme="minorHAnsi" w:hAnsiTheme="minorHAnsi"/>
                <w:b/>
                <w:sz w:val="20"/>
              </w:rPr>
              <w:t>Notes</w:t>
            </w: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 NI Level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Parliamentary Constituency level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Government District (2014) level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Due to the nature of the surveys, these data are made available - reported on the number of nights in one location and cannot specify that any spend was made in that location. Also, due to small numbers of responses to the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surveys, responses are allocated to LGDs depending on the NISRA sources</w:t>
            </w:r>
          </w:p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There is also a longer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timelag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between data collection and publication due to quality assurance that needs done.</w:t>
            </w: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Deprivation Quintile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 xml:space="preserve">NISRA Geography Urban/Rural Measure 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Age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Marital Status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Religion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Political Opinion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Dependants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Sexual Orientation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345E2E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Racial Group</w:t>
            </w:r>
          </w:p>
        </w:tc>
        <w:tc>
          <w:tcPr>
            <w:tcW w:w="903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3BCF" w:rsidRPr="008F671D" w:rsidTr="00823C0A">
        <w:trPr>
          <w:trHeight w:val="4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E3BCF" w:rsidRPr="004C2627" w:rsidRDefault="003E3BCF" w:rsidP="003E3B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345E2E">
              <w:rPr>
                <w:rFonts w:asciiTheme="minorHAnsi" w:hAnsiTheme="minorHAnsi"/>
                <w:b/>
                <w:sz w:val="20"/>
                <w:szCs w:val="20"/>
              </w:rPr>
              <w:t>owest level geography at which the measure is available:</w:t>
            </w:r>
          </w:p>
        </w:tc>
        <w:tc>
          <w:tcPr>
            <w:tcW w:w="5439" w:type="dxa"/>
            <w:gridSpan w:val="2"/>
            <w:vAlign w:val="center"/>
          </w:tcPr>
          <w:p w:rsidR="003E3BCF" w:rsidRDefault="003E3BCF" w:rsidP="003E3B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Local Government District (2014)</w:t>
            </w:r>
          </w:p>
        </w:tc>
      </w:tr>
    </w:tbl>
    <w:bookmarkEnd w:id="0"/>
    <w:p w:rsidR="00357CC1" w:rsidRPr="00A85CFB" w:rsidRDefault="00A85CFB" w:rsidP="000200B0">
      <w:pPr>
        <w:rPr>
          <w:rFonts w:asciiTheme="minorHAnsi" w:hAnsiTheme="minorHAnsi"/>
          <w:sz w:val="20"/>
          <w:szCs w:val="20"/>
        </w:rPr>
      </w:pPr>
      <w:r w:rsidRPr="000E15DF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Due to confidentiality constraints, in some instances breakdowns may not be available due to small numbers</w:t>
      </w:r>
    </w:p>
    <w:sectPr w:rsidR="00357CC1" w:rsidRPr="00A85CFB" w:rsidSect="008F671D">
      <w:headerReference w:type="default" r:id="rId8"/>
      <w:pgSz w:w="11906" w:h="16838"/>
      <w:pgMar w:top="709" w:right="851" w:bottom="680" w:left="851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FD" w:rsidRDefault="00D57AFD" w:rsidP="008F671D">
      <w:r>
        <w:separator/>
      </w:r>
    </w:p>
  </w:endnote>
  <w:endnote w:type="continuationSeparator" w:id="0">
    <w:p w:rsidR="00D57AFD" w:rsidRDefault="00D57AFD" w:rsidP="008F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FD" w:rsidRDefault="00D57AFD" w:rsidP="008F671D">
      <w:r>
        <w:separator/>
      </w:r>
    </w:p>
  </w:footnote>
  <w:footnote w:type="continuationSeparator" w:id="0">
    <w:p w:rsidR="00D57AFD" w:rsidRDefault="00D57AFD" w:rsidP="008F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CC" w:rsidRPr="00E14E8E" w:rsidRDefault="007712CC" w:rsidP="008F671D">
    <w:pPr>
      <w:rPr>
        <w:rFonts w:asciiTheme="minorHAnsi" w:hAnsiTheme="minorHAnsi" w:cs="Arial"/>
        <w:b/>
        <w:color w:val="808080" w:themeColor="background1" w:themeShade="80"/>
        <w:sz w:val="28"/>
      </w:rPr>
    </w:pPr>
    <w:r w:rsidRPr="00E14E8E">
      <w:rPr>
        <w:rFonts w:asciiTheme="minorHAnsi" w:hAnsiTheme="minorHAnsi" w:cs="Arial"/>
        <w:b/>
        <w:color w:val="808080" w:themeColor="background1" w:themeShade="80"/>
        <w:sz w:val="28"/>
      </w:rPr>
      <w:t>PFG – 2016/</w:t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>2021</w:t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 w:rsidR="00823C0A">
      <w:rPr>
        <w:rFonts w:asciiTheme="minorHAnsi" w:hAnsiTheme="minorHAnsi" w:cs="Arial"/>
        <w:b/>
        <w:color w:val="808080" w:themeColor="background1" w:themeShade="80"/>
        <w:sz w:val="28"/>
      </w:rPr>
      <w:tab/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>
      <w:rPr>
        <w:rFonts w:asciiTheme="minorHAnsi" w:hAnsiTheme="minorHAnsi" w:cs="Arial"/>
        <w:b/>
        <w:color w:val="808080" w:themeColor="background1" w:themeShade="80"/>
        <w:sz w:val="28"/>
      </w:rPr>
      <w:tab/>
    </w:r>
    <w:r w:rsidRPr="00E14E8E">
      <w:rPr>
        <w:rFonts w:asciiTheme="minorHAnsi" w:hAnsiTheme="minorHAnsi" w:cs="Arial"/>
        <w:b/>
        <w:color w:val="808080" w:themeColor="background1" w:themeShade="80"/>
        <w:sz w:val="28"/>
      </w:rPr>
      <w:tab/>
      <w:t>MEASUREMENT 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A3D"/>
    <w:multiLevelType w:val="multilevel"/>
    <w:tmpl w:val="D4C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35354"/>
    <w:multiLevelType w:val="hybridMultilevel"/>
    <w:tmpl w:val="37809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A23EF"/>
    <w:multiLevelType w:val="hybridMultilevel"/>
    <w:tmpl w:val="7DBE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200B0"/>
    <w:rsid w:val="000200B0"/>
    <w:rsid w:val="000515AB"/>
    <w:rsid w:val="000531B5"/>
    <w:rsid w:val="00060B9C"/>
    <w:rsid w:val="000660A1"/>
    <w:rsid w:val="0006771F"/>
    <w:rsid w:val="0008741F"/>
    <w:rsid w:val="00095AB2"/>
    <w:rsid w:val="000B1BD2"/>
    <w:rsid w:val="000E43D4"/>
    <w:rsid w:val="000E75A3"/>
    <w:rsid w:val="00113C75"/>
    <w:rsid w:val="00127A62"/>
    <w:rsid w:val="001425E1"/>
    <w:rsid w:val="001668A0"/>
    <w:rsid w:val="001849F8"/>
    <w:rsid w:val="001863BB"/>
    <w:rsid w:val="001C2C68"/>
    <w:rsid w:val="001D1AD8"/>
    <w:rsid w:val="001D69FA"/>
    <w:rsid w:val="001E2E31"/>
    <w:rsid w:val="001F141E"/>
    <w:rsid w:val="002275CC"/>
    <w:rsid w:val="00235BC7"/>
    <w:rsid w:val="00254DA2"/>
    <w:rsid w:val="00282FAE"/>
    <w:rsid w:val="002C160C"/>
    <w:rsid w:val="00316D9E"/>
    <w:rsid w:val="00324526"/>
    <w:rsid w:val="0032479C"/>
    <w:rsid w:val="00331978"/>
    <w:rsid w:val="00341C45"/>
    <w:rsid w:val="00357CC1"/>
    <w:rsid w:val="00357EB0"/>
    <w:rsid w:val="00372264"/>
    <w:rsid w:val="00376AD3"/>
    <w:rsid w:val="00377F2C"/>
    <w:rsid w:val="00397F49"/>
    <w:rsid w:val="003B013B"/>
    <w:rsid w:val="003C1DB6"/>
    <w:rsid w:val="003C4441"/>
    <w:rsid w:val="003D066F"/>
    <w:rsid w:val="003E3BCF"/>
    <w:rsid w:val="003E6FDF"/>
    <w:rsid w:val="003F0FF6"/>
    <w:rsid w:val="003F1D3A"/>
    <w:rsid w:val="003F74DA"/>
    <w:rsid w:val="00404AD8"/>
    <w:rsid w:val="00423C1B"/>
    <w:rsid w:val="00465B3F"/>
    <w:rsid w:val="00490179"/>
    <w:rsid w:val="0049269F"/>
    <w:rsid w:val="004A24D7"/>
    <w:rsid w:val="004D6771"/>
    <w:rsid w:val="00503E52"/>
    <w:rsid w:val="00535359"/>
    <w:rsid w:val="00542BC4"/>
    <w:rsid w:val="005A4695"/>
    <w:rsid w:val="005B441A"/>
    <w:rsid w:val="005B69FE"/>
    <w:rsid w:val="005C79AD"/>
    <w:rsid w:val="005E386D"/>
    <w:rsid w:val="005F603B"/>
    <w:rsid w:val="00611CCE"/>
    <w:rsid w:val="006B0988"/>
    <w:rsid w:val="006B60A3"/>
    <w:rsid w:val="006D6E49"/>
    <w:rsid w:val="007321E3"/>
    <w:rsid w:val="007348B0"/>
    <w:rsid w:val="00735E57"/>
    <w:rsid w:val="00770017"/>
    <w:rsid w:val="007712CC"/>
    <w:rsid w:val="007841CC"/>
    <w:rsid w:val="007D0190"/>
    <w:rsid w:val="007D4CA2"/>
    <w:rsid w:val="00806A6E"/>
    <w:rsid w:val="00823C0A"/>
    <w:rsid w:val="00837F05"/>
    <w:rsid w:val="00882FF5"/>
    <w:rsid w:val="008B6781"/>
    <w:rsid w:val="008F167D"/>
    <w:rsid w:val="008F671D"/>
    <w:rsid w:val="00900676"/>
    <w:rsid w:val="009373F2"/>
    <w:rsid w:val="0094608E"/>
    <w:rsid w:val="00952736"/>
    <w:rsid w:val="009744B1"/>
    <w:rsid w:val="00977923"/>
    <w:rsid w:val="00980EC4"/>
    <w:rsid w:val="009C1900"/>
    <w:rsid w:val="009C41FB"/>
    <w:rsid w:val="00A0388B"/>
    <w:rsid w:val="00A422E3"/>
    <w:rsid w:val="00A42C48"/>
    <w:rsid w:val="00A42FCB"/>
    <w:rsid w:val="00A4566B"/>
    <w:rsid w:val="00A535C2"/>
    <w:rsid w:val="00A71F94"/>
    <w:rsid w:val="00A85CFB"/>
    <w:rsid w:val="00AA3C83"/>
    <w:rsid w:val="00AE2092"/>
    <w:rsid w:val="00AE6B78"/>
    <w:rsid w:val="00AF7E1A"/>
    <w:rsid w:val="00B151E2"/>
    <w:rsid w:val="00B6370C"/>
    <w:rsid w:val="00B8684A"/>
    <w:rsid w:val="00BD4124"/>
    <w:rsid w:val="00C305E8"/>
    <w:rsid w:val="00C5024A"/>
    <w:rsid w:val="00C50CB4"/>
    <w:rsid w:val="00C95F71"/>
    <w:rsid w:val="00CA12E6"/>
    <w:rsid w:val="00CC4122"/>
    <w:rsid w:val="00CC548C"/>
    <w:rsid w:val="00CD441C"/>
    <w:rsid w:val="00CE3F7A"/>
    <w:rsid w:val="00D172FC"/>
    <w:rsid w:val="00D57AFD"/>
    <w:rsid w:val="00DB2A18"/>
    <w:rsid w:val="00E14E8E"/>
    <w:rsid w:val="00E5374D"/>
    <w:rsid w:val="00E64CD3"/>
    <w:rsid w:val="00ED6FEE"/>
    <w:rsid w:val="00EF2DD6"/>
    <w:rsid w:val="00EF610E"/>
    <w:rsid w:val="00F16D3B"/>
    <w:rsid w:val="00F2310C"/>
    <w:rsid w:val="00F35BC1"/>
    <w:rsid w:val="00F47F63"/>
    <w:rsid w:val="00F778CC"/>
    <w:rsid w:val="00F81E8B"/>
    <w:rsid w:val="00FA749E"/>
    <w:rsid w:val="00FB47D0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20A58-AAAD-4B2E-BDB7-B24D6995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F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6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7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1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12CC"/>
    <w:rPr>
      <w:color w:val="800080" w:themeColor="followedHyperlink"/>
      <w:u w:val="single"/>
    </w:rPr>
  </w:style>
  <w:style w:type="character" w:customStyle="1" w:styleId="A5">
    <w:name w:val="A5"/>
    <w:uiPriority w:val="99"/>
    <w:rsid w:val="007712CC"/>
    <w:rPr>
      <w:rFonts w:cs="Myriad Pro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6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1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5AB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customStyle="1" w:styleId="Default">
    <w:name w:val="Default"/>
    <w:rsid w:val="00376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FD862-FA05-4197-A1F6-F30CC89A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O'Neill</dc:creator>
  <cp:lastModifiedBy>Henderson, Joanne</cp:lastModifiedBy>
  <cp:revision>3</cp:revision>
  <cp:lastPrinted>2016-04-11T13:16:00Z</cp:lastPrinted>
  <dcterms:created xsi:type="dcterms:W3CDTF">2020-10-21T16:23:00Z</dcterms:created>
  <dcterms:modified xsi:type="dcterms:W3CDTF">2020-10-21T16:29:00Z</dcterms:modified>
</cp:coreProperties>
</file>