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D1912C" w14:textId="3D708AE8" w:rsidR="00E92FD1" w:rsidRDefault="00E92FD1" w:rsidP="00CC4E3F">
      <w:pPr>
        <w:jc w:val="both"/>
        <w:rPr>
          <w:u w:val="single"/>
        </w:rPr>
      </w:pPr>
      <w:r w:rsidRPr="00527DE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FE636" wp14:editId="5452AAFA">
                <wp:simplePos x="0" y="0"/>
                <wp:positionH relativeFrom="column">
                  <wp:posOffset>-129396</wp:posOffset>
                </wp:positionH>
                <wp:positionV relativeFrom="paragraph">
                  <wp:posOffset>1944717</wp:posOffset>
                </wp:positionV>
                <wp:extent cx="6452235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D295" w14:textId="77777777" w:rsidR="00E92FD1" w:rsidRPr="006E3B2C" w:rsidRDefault="00E92FD1" w:rsidP="00E92FD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6E3B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Women in Northern Ireland</w:t>
                            </w:r>
                          </w:p>
                          <w:p w14:paraId="77E549BC" w14:textId="77777777" w:rsidR="00E92FD1" w:rsidRPr="006E3B2C" w:rsidRDefault="00E92FD1" w:rsidP="00E92FD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E3B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Consultation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FE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153.15pt;width:508.0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lm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" filled="f" stroked="f">
                <v:textbox>
                  <w:txbxContent>
                    <w:p w14:paraId="09D2D295" w14:textId="77777777" w:rsidR="00E92FD1" w:rsidRPr="006E3B2C" w:rsidRDefault="00E92FD1" w:rsidP="00E92FD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  <w:r w:rsidRPr="006E3B2C">
                        <w:rPr>
                          <w:rFonts w:ascii="Arial" w:hAnsi="Arial" w:cs="Arial"/>
                          <w:b/>
                          <w:color w:val="FFFFFF" w:themeColor="background1"/>
                          <w:sz w:val="54"/>
                          <w:szCs w:val="54"/>
                        </w:rPr>
                        <w:t>Women in Northern Ireland</w:t>
                      </w:r>
                    </w:p>
                    <w:p w14:paraId="77E549BC" w14:textId="77777777" w:rsidR="00E92FD1" w:rsidRPr="006E3B2C" w:rsidRDefault="00E92FD1" w:rsidP="00E92FD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E3B2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Consultation Outcome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7DE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387620" wp14:editId="01BDF9F3">
            <wp:simplePos x="0" y="0"/>
            <wp:positionH relativeFrom="page">
              <wp:align>right</wp:align>
            </wp:positionH>
            <wp:positionV relativeFrom="paragraph">
              <wp:posOffset>443</wp:posOffset>
            </wp:positionV>
            <wp:extent cx="6788785" cy="2811780"/>
            <wp:effectExtent l="0" t="0" r="0" b="7620"/>
            <wp:wrapTight wrapText="bothSides">
              <wp:wrapPolygon edited="0">
                <wp:start x="0" y="0"/>
                <wp:lineTo x="0" y="21512"/>
                <wp:lineTo x="21517" y="21512"/>
                <wp:lineTo x="21517" y="0"/>
                <wp:lineTo x="0" y="0"/>
              </wp:wrapPolygon>
            </wp:wrapTight>
            <wp:docPr id="7" name="Picture 2" descr="C:\Users\1448155\Desktop\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48155\Desktop\cov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916B1" w14:textId="4FE46EA6" w:rsidR="00544C86" w:rsidRPr="00202C54" w:rsidRDefault="00544C86" w:rsidP="00202C54">
      <w:pPr>
        <w:spacing w:after="0" w:line="240" w:lineRule="auto"/>
        <w:rPr>
          <w:rFonts w:ascii="Arial" w:eastAsia="Times New Roman" w:hAnsi="Arial" w:cs="Times New Roman"/>
          <w:b/>
          <w:sz w:val="28"/>
        </w:rPr>
      </w:pPr>
      <w:r w:rsidRPr="00202C54">
        <w:rPr>
          <w:rFonts w:ascii="Arial" w:eastAsia="Times New Roman" w:hAnsi="Arial" w:cs="Times New Roman"/>
          <w:b/>
          <w:sz w:val="28"/>
        </w:rPr>
        <w:t>We Asked</w:t>
      </w:r>
    </w:p>
    <w:p w14:paraId="457EDA8C" w14:textId="05BE4B77" w:rsidR="00DF6A6D" w:rsidRPr="00202C54" w:rsidRDefault="000D0C84" w:rsidP="00B0264D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</w:rPr>
      </w:pPr>
      <w:r w:rsidRPr="00202C54">
        <w:rPr>
          <w:rFonts w:ascii="Arial" w:eastAsia="Times New Roman" w:hAnsi="Arial" w:cs="Times New Roman"/>
        </w:rPr>
        <w:t>W</w:t>
      </w:r>
      <w:r w:rsidR="00544C86" w:rsidRPr="00202C54">
        <w:rPr>
          <w:rFonts w:ascii="Arial" w:eastAsia="Times New Roman" w:hAnsi="Arial" w:cs="Times New Roman"/>
        </w:rPr>
        <w:t xml:space="preserve">e asked for your </w:t>
      </w:r>
      <w:r w:rsidR="00B0264D" w:rsidRPr="00202C54">
        <w:rPr>
          <w:rFonts w:ascii="Arial" w:eastAsia="Times New Roman" w:hAnsi="Arial" w:cs="Times New Roman"/>
        </w:rPr>
        <w:t xml:space="preserve">feedback on </w:t>
      </w:r>
      <w:r w:rsidR="005605E1">
        <w:rPr>
          <w:rFonts w:ascii="Arial" w:eastAsia="Times New Roman" w:hAnsi="Arial" w:cs="Times New Roman"/>
        </w:rPr>
        <w:t>your</w:t>
      </w:r>
      <w:r w:rsidR="00B0264D" w:rsidRPr="00202C54">
        <w:rPr>
          <w:rFonts w:ascii="Arial" w:eastAsia="Times New Roman" w:hAnsi="Arial" w:cs="Times New Roman"/>
        </w:rPr>
        <w:t xml:space="preserve"> use </w:t>
      </w:r>
      <w:r w:rsidR="005605E1">
        <w:rPr>
          <w:rFonts w:ascii="Arial" w:eastAsia="Times New Roman" w:hAnsi="Arial" w:cs="Times New Roman"/>
        </w:rPr>
        <w:t>of</w:t>
      </w:r>
      <w:r w:rsidR="00B0264D" w:rsidRPr="00202C54">
        <w:rPr>
          <w:rFonts w:ascii="Arial" w:eastAsia="Times New Roman" w:hAnsi="Arial" w:cs="Times New Roman"/>
        </w:rPr>
        <w:t xml:space="preserve"> the Women in Northern Ireland annual publication</w:t>
      </w:r>
      <w:r w:rsidR="005605E1">
        <w:rPr>
          <w:rFonts w:ascii="Arial" w:eastAsia="Times New Roman" w:hAnsi="Arial" w:cs="Times New Roman"/>
        </w:rPr>
        <w:t>. We wanted</w:t>
      </w:r>
      <w:r w:rsidR="00B0264D" w:rsidRPr="00202C54">
        <w:rPr>
          <w:rFonts w:ascii="Arial" w:eastAsia="Times New Roman" w:hAnsi="Arial" w:cs="Times New Roman"/>
        </w:rPr>
        <w:t xml:space="preserve"> to assess if the publication should continue to be</w:t>
      </w:r>
      <w:r w:rsidR="005605E1">
        <w:rPr>
          <w:rFonts w:ascii="Arial" w:eastAsia="Times New Roman" w:hAnsi="Arial" w:cs="Times New Roman"/>
        </w:rPr>
        <w:t xml:space="preserve"> produced</w:t>
      </w:r>
      <w:r w:rsidR="00B0264D" w:rsidRPr="00202C54">
        <w:rPr>
          <w:rFonts w:ascii="Arial" w:eastAsia="Times New Roman" w:hAnsi="Arial" w:cs="Times New Roman"/>
        </w:rPr>
        <w:t xml:space="preserve"> and if it should remain in the same format.</w:t>
      </w:r>
      <w:r w:rsidR="0005388C" w:rsidRPr="00202C54">
        <w:rPr>
          <w:rFonts w:ascii="Arial" w:eastAsia="Times New Roman" w:hAnsi="Arial" w:cs="Times New Roman"/>
        </w:rPr>
        <w:t xml:space="preserve"> </w:t>
      </w:r>
      <w:r w:rsidR="00E92FD1" w:rsidRPr="00202C54">
        <w:rPr>
          <w:rFonts w:ascii="Arial" w:eastAsia="Times New Roman" w:hAnsi="Arial" w:cs="Times New Roman"/>
        </w:rPr>
        <w:t>The consultation ran from 7th December 2017 to 25th January 2018.</w:t>
      </w:r>
    </w:p>
    <w:p w14:paraId="4E5955F8" w14:textId="12718AC6" w:rsidR="00B0264D" w:rsidRDefault="00B0264D" w:rsidP="00D30AAF">
      <w:pPr>
        <w:rPr>
          <w:b/>
        </w:rPr>
      </w:pPr>
    </w:p>
    <w:p w14:paraId="1C8498B4" w14:textId="1E7E74C4" w:rsidR="00544C86" w:rsidRPr="00202C54" w:rsidRDefault="0057216D" w:rsidP="00202C54">
      <w:pPr>
        <w:spacing w:after="0" w:line="240" w:lineRule="auto"/>
        <w:rPr>
          <w:rFonts w:ascii="Arial" w:eastAsia="Times New Roman" w:hAnsi="Arial" w:cs="Times New Roman"/>
          <w:b/>
          <w:sz w:val="28"/>
        </w:rPr>
      </w:pPr>
      <w:r w:rsidRPr="00202C54">
        <w:rPr>
          <w:rFonts w:ascii="Arial" w:eastAsia="Times New Roman" w:hAnsi="Arial" w:cs="Times New Roman"/>
          <w:b/>
          <w:sz w:val="28"/>
        </w:rPr>
        <w:t>You Said</w:t>
      </w:r>
    </w:p>
    <w:p w14:paraId="25E2FE61" w14:textId="1A75C443" w:rsidR="00544C86" w:rsidRPr="00202C54" w:rsidRDefault="005605E1" w:rsidP="00202C54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Known users of the Women in Northern Ireland publication</w:t>
      </w:r>
      <w:r w:rsidR="00B0264D" w:rsidRPr="00202C54">
        <w:rPr>
          <w:rFonts w:ascii="Arial" w:eastAsia="Times New Roman" w:hAnsi="Arial" w:cs="Times New Roman"/>
        </w:rPr>
        <w:t xml:space="preserve"> were invited directly to take part in the consultation and in addition a wider invitation was issued via twitter.  </w:t>
      </w:r>
      <w:r w:rsidR="00DF2EAC" w:rsidRPr="00202C54">
        <w:rPr>
          <w:rFonts w:ascii="Arial" w:eastAsia="Times New Roman" w:hAnsi="Arial" w:cs="Times New Roman"/>
        </w:rPr>
        <w:t>In total, there were 4 responses to the consultation; 3 via citizen space and 1 via postal feedback template</w:t>
      </w:r>
      <w:r w:rsidR="00B51E9D" w:rsidRPr="00202C54">
        <w:rPr>
          <w:rFonts w:ascii="Arial" w:eastAsia="Times New Roman" w:hAnsi="Arial" w:cs="Times New Roman"/>
        </w:rPr>
        <w:t xml:space="preserve">. </w:t>
      </w:r>
      <w:r w:rsidR="00544C86" w:rsidRPr="00202C54">
        <w:rPr>
          <w:rFonts w:ascii="Arial" w:eastAsia="Times New Roman" w:hAnsi="Arial" w:cs="Times New Roman"/>
        </w:rPr>
        <w:t>We would like to thank all respondents for taking the time to respond to the consultation.</w:t>
      </w:r>
    </w:p>
    <w:p w14:paraId="4CF72C50" w14:textId="77777777" w:rsidR="00DF2EAC" w:rsidRPr="00202C54" w:rsidRDefault="00DF2EAC" w:rsidP="00202C54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</w:rPr>
      </w:pPr>
      <w:r w:rsidRPr="00202C54">
        <w:rPr>
          <w:rFonts w:ascii="Arial" w:eastAsia="Times New Roman" w:hAnsi="Arial" w:cs="Times New Roman"/>
        </w:rPr>
        <w:t>The main feedback included:</w:t>
      </w:r>
    </w:p>
    <w:p w14:paraId="0E93EB05" w14:textId="3F6227F5" w:rsidR="00DF2EAC" w:rsidRPr="00202C54" w:rsidRDefault="00DF2EAC" w:rsidP="00202C54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GB"/>
        </w:rPr>
      </w:pPr>
      <w:r w:rsidRPr="00202C54">
        <w:rPr>
          <w:rFonts w:ascii="Arial" w:hAnsi="Arial"/>
          <w:sz w:val="22"/>
          <w:szCs w:val="22"/>
          <w:lang w:val="en-GB"/>
        </w:rPr>
        <w:t>Two respondents stated they were first-time users of the publication, one stated t</w:t>
      </w:r>
      <w:r w:rsidR="005605E1">
        <w:rPr>
          <w:rFonts w:ascii="Arial" w:hAnsi="Arial"/>
          <w:sz w:val="22"/>
          <w:szCs w:val="22"/>
          <w:lang w:val="en-GB"/>
        </w:rPr>
        <w:t>hey regularly (at least once a</w:t>
      </w:r>
      <w:r w:rsidRPr="00202C54">
        <w:rPr>
          <w:rFonts w:ascii="Arial" w:hAnsi="Arial"/>
          <w:sz w:val="22"/>
          <w:szCs w:val="22"/>
          <w:lang w:val="en-GB"/>
        </w:rPr>
        <w:t xml:space="preserve"> month) </w:t>
      </w:r>
      <w:r w:rsidR="0054540A" w:rsidRPr="00202C54">
        <w:rPr>
          <w:rFonts w:ascii="Arial" w:hAnsi="Arial"/>
          <w:sz w:val="22"/>
          <w:szCs w:val="22"/>
          <w:lang w:val="en-GB"/>
        </w:rPr>
        <w:t>use the publication</w:t>
      </w:r>
      <w:r w:rsidR="0054540A">
        <w:rPr>
          <w:rFonts w:ascii="Arial" w:hAnsi="Arial"/>
          <w:sz w:val="22"/>
          <w:szCs w:val="22"/>
          <w:lang w:val="en-GB"/>
        </w:rPr>
        <w:t xml:space="preserve"> </w:t>
      </w:r>
      <w:r w:rsidRPr="00202C54">
        <w:rPr>
          <w:rFonts w:ascii="Arial" w:hAnsi="Arial"/>
          <w:sz w:val="22"/>
          <w:szCs w:val="22"/>
          <w:lang w:val="en-GB"/>
        </w:rPr>
        <w:t>and another stated they occasionally (less than once a mo</w:t>
      </w:r>
      <w:r w:rsidR="005605E1">
        <w:rPr>
          <w:rFonts w:ascii="Arial" w:hAnsi="Arial"/>
          <w:sz w:val="22"/>
          <w:szCs w:val="22"/>
          <w:lang w:val="en-GB"/>
        </w:rPr>
        <w:t xml:space="preserve">nth but more than once a year) </w:t>
      </w:r>
      <w:r w:rsidR="005605E1" w:rsidRPr="00202C54">
        <w:rPr>
          <w:rFonts w:ascii="Arial" w:hAnsi="Arial"/>
          <w:sz w:val="22"/>
          <w:szCs w:val="22"/>
          <w:lang w:val="en-GB"/>
        </w:rPr>
        <w:t>use the publication</w:t>
      </w:r>
      <w:r w:rsidR="005605E1">
        <w:rPr>
          <w:rFonts w:ascii="Arial" w:hAnsi="Arial"/>
          <w:sz w:val="22"/>
          <w:szCs w:val="22"/>
          <w:lang w:val="en-GB"/>
        </w:rPr>
        <w:t>.</w:t>
      </w:r>
    </w:p>
    <w:p w14:paraId="7EC06B8A" w14:textId="5FF3824D" w:rsidR="00202C54" w:rsidRDefault="005605E1" w:rsidP="00202C54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responses </w:t>
      </w:r>
      <w:r w:rsidR="0054540A">
        <w:rPr>
          <w:rFonts w:ascii="Arial" w:hAnsi="Arial"/>
          <w:sz w:val="22"/>
          <w:szCs w:val="22"/>
        </w:rPr>
        <w:t xml:space="preserve">welcomed </w:t>
      </w:r>
      <w:r>
        <w:rPr>
          <w:rFonts w:ascii="Arial" w:hAnsi="Arial"/>
          <w:sz w:val="22"/>
          <w:szCs w:val="22"/>
        </w:rPr>
        <w:t>the publication’s</w:t>
      </w:r>
      <w:r w:rsidR="00DF2EAC" w:rsidRPr="00202C54">
        <w:rPr>
          <w:rFonts w:ascii="Arial" w:hAnsi="Arial"/>
          <w:sz w:val="22"/>
          <w:szCs w:val="22"/>
        </w:rPr>
        <w:t xml:space="preserve"> coverage of different statistics, the commentary alongside the figures and the engaging infographic.</w:t>
      </w:r>
    </w:p>
    <w:p w14:paraId="728E68AC" w14:textId="36EA8026" w:rsidR="00DF2EAC" w:rsidRPr="00202C54" w:rsidRDefault="00DF2EAC" w:rsidP="00202C54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02C54">
        <w:rPr>
          <w:rFonts w:ascii="Arial" w:hAnsi="Arial"/>
          <w:sz w:val="22"/>
          <w:szCs w:val="22"/>
          <w:lang w:val="en-GB"/>
        </w:rPr>
        <w:t>Users were asked about the specific topic areas they made use of, the responses were as follows:</w:t>
      </w:r>
    </w:p>
    <w:p w14:paraId="6A05A01A" w14:textId="30B60979" w:rsidR="00DF2EAC" w:rsidRDefault="005605E1" w:rsidP="00DF2EAC">
      <w:pPr>
        <w:pStyle w:val="ListParagraph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29638E4" wp14:editId="0821520F">
            <wp:extent cx="5448300" cy="2895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EE5531" w14:textId="27F9EB2A" w:rsidR="00DF2EAC" w:rsidRDefault="00DF2EAC" w:rsidP="00DF2EAC">
      <w:pPr>
        <w:pStyle w:val="ListParagraph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2A46FE90" w14:textId="08A9F942" w:rsidR="00DF2EAC" w:rsidRDefault="00DF2EAC" w:rsidP="00DF2EAC">
      <w:pPr>
        <w:pStyle w:val="ListParagraph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00A09D61" w14:textId="50AADBAA" w:rsidR="00DF2EAC" w:rsidRPr="00DF2EAC" w:rsidRDefault="00DF2EAC" w:rsidP="00DF2EAC">
      <w:pPr>
        <w:pStyle w:val="ListParagraph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05B3959D" w14:textId="74C2AB31" w:rsidR="00B0264D" w:rsidRPr="00B0264D" w:rsidRDefault="00B0264D" w:rsidP="00B0264D"/>
    <w:p w14:paraId="7079BDF9" w14:textId="771B5EF6" w:rsidR="00544C86" w:rsidRPr="00202C54" w:rsidRDefault="00544C86" w:rsidP="00D30AAF">
      <w:pPr>
        <w:rPr>
          <w:rFonts w:ascii="Arial" w:hAnsi="Arial" w:cs="Arial"/>
          <w:b/>
          <w:sz w:val="28"/>
          <w:szCs w:val="28"/>
        </w:rPr>
      </w:pPr>
      <w:r w:rsidRPr="00202C54">
        <w:rPr>
          <w:rFonts w:ascii="Arial" w:hAnsi="Arial" w:cs="Arial"/>
          <w:b/>
          <w:sz w:val="28"/>
          <w:szCs w:val="28"/>
        </w:rPr>
        <w:t xml:space="preserve">We Did </w:t>
      </w:r>
    </w:p>
    <w:p w14:paraId="0979E1B0" w14:textId="61844DE2" w:rsidR="00656B16" w:rsidRPr="00202C54" w:rsidRDefault="00656B16" w:rsidP="00D30AAF">
      <w:pPr>
        <w:rPr>
          <w:rFonts w:ascii="Arial" w:hAnsi="Arial" w:cs="Arial"/>
        </w:rPr>
      </w:pPr>
      <w:r w:rsidRPr="00202C54">
        <w:rPr>
          <w:rFonts w:ascii="Arial" w:hAnsi="Arial" w:cs="Arial"/>
        </w:rPr>
        <w:t>We reviewed the feedback provided by respondents</w:t>
      </w:r>
      <w:r w:rsidR="0054540A">
        <w:rPr>
          <w:rFonts w:ascii="Arial" w:hAnsi="Arial" w:cs="Arial"/>
        </w:rPr>
        <w:t>.</w:t>
      </w:r>
      <w:r w:rsidR="00B0264D" w:rsidRPr="00202C54">
        <w:rPr>
          <w:rFonts w:ascii="Arial" w:hAnsi="Arial" w:cs="Arial"/>
        </w:rPr>
        <w:t xml:space="preserve"> </w:t>
      </w:r>
      <w:r w:rsidR="0054540A">
        <w:rPr>
          <w:rFonts w:ascii="Arial" w:hAnsi="Arial" w:cs="Arial"/>
        </w:rPr>
        <w:t>T</w:t>
      </w:r>
      <w:r w:rsidR="00DF2EAC" w:rsidRPr="00202C54">
        <w:rPr>
          <w:rFonts w:ascii="Arial" w:hAnsi="Arial" w:cs="Arial"/>
        </w:rPr>
        <w:t>h</w:t>
      </w:r>
      <w:r w:rsidR="0054540A">
        <w:rPr>
          <w:rFonts w:ascii="Arial" w:hAnsi="Arial" w:cs="Arial"/>
        </w:rPr>
        <w:t xml:space="preserve">e low response rate to the Women in Northern Ireland </w:t>
      </w:r>
      <w:r w:rsidR="00DF2EAC" w:rsidRPr="00202C54">
        <w:rPr>
          <w:rFonts w:ascii="Arial" w:hAnsi="Arial" w:cs="Arial"/>
        </w:rPr>
        <w:t xml:space="preserve">consultation indicates the current publication is not being widely accessed by users. Taking the feedback into account </w:t>
      </w:r>
      <w:r w:rsidRPr="00202C54">
        <w:rPr>
          <w:rFonts w:ascii="Arial" w:hAnsi="Arial" w:cs="Arial"/>
        </w:rPr>
        <w:t>we are going to undertake the actions listed below:</w:t>
      </w:r>
    </w:p>
    <w:p w14:paraId="3D68B3C2" w14:textId="6D151244" w:rsidR="00A621A2" w:rsidRPr="00202C54" w:rsidRDefault="0054540A" w:rsidP="00B0264D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 future</w:t>
      </w:r>
      <w:r w:rsidR="00B0264D" w:rsidRPr="00202C54">
        <w:rPr>
          <w:rFonts w:ascii="Arial" w:hAnsi="Arial" w:cs="Arial"/>
          <w:sz w:val="22"/>
          <w:szCs w:val="22"/>
        </w:rPr>
        <w:t xml:space="preserve"> Women in Northern Ireland publication</w:t>
      </w:r>
      <w:r>
        <w:rPr>
          <w:rFonts w:ascii="Arial" w:hAnsi="Arial" w:cs="Arial"/>
          <w:sz w:val="22"/>
          <w:szCs w:val="22"/>
        </w:rPr>
        <w:t>s</w:t>
      </w:r>
      <w:r w:rsidR="00B0264D" w:rsidRPr="00202C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DF2EAC" w:rsidRPr="00202C54">
        <w:rPr>
          <w:rFonts w:ascii="Arial" w:hAnsi="Arial" w:cs="Arial"/>
          <w:sz w:val="22"/>
          <w:szCs w:val="22"/>
        </w:rPr>
        <w:t xml:space="preserve"> Labour Force Survey</w:t>
      </w:r>
      <w:r>
        <w:rPr>
          <w:rFonts w:ascii="Arial" w:hAnsi="Arial" w:cs="Arial"/>
          <w:sz w:val="22"/>
          <w:szCs w:val="22"/>
        </w:rPr>
        <w:t xml:space="preserve"> data only </w:t>
      </w:r>
      <w:r w:rsidRPr="00202C54">
        <w:rPr>
          <w:rFonts w:ascii="Arial" w:hAnsi="Arial" w:cs="Arial"/>
          <w:sz w:val="22"/>
          <w:szCs w:val="22"/>
        </w:rPr>
        <w:t>and include a greater analysis of that data</w:t>
      </w:r>
      <w:r w:rsidR="00DF2EAC" w:rsidRPr="00202C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 list of links to the additional sources will be included in the revised publication for information.</w:t>
      </w:r>
      <w:r w:rsidR="00DF2EAC" w:rsidRPr="00202C54">
        <w:rPr>
          <w:rFonts w:ascii="Arial" w:hAnsi="Arial" w:cs="Arial"/>
          <w:sz w:val="22"/>
          <w:szCs w:val="22"/>
        </w:rPr>
        <w:t xml:space="preserve"> Annex 1 provides a list of links to the sources of the data </w:t>
      </w:r>
      <w:r w:rsidR="000F26D9">
        <w:rPr>
          <w:rFonts w:ascii="Arial" w:hAnsi="Arial" w:cs="Arial"/>
          <w:sz w:val="22"/>
          <w:szCs w:val="22"/>
        </w:rPr>
        <w:t>that will be removed from the publication.</w:t>
      </w:r>
      <w:r w:rsidR="00DF2EAC" w:rsidRPr="00202C54">
        <w:rPr>
          <w:rFonts w:ascii="Arial" w:hAnsi="Arial" w:cs="Arial"/>
          <w:sz w:val="22"/>
          <w:szCs w:val="22"/>
        </w:rPr>
        <w:t xml:space="preserve"> These links will be updated and included in the revised publication for information.</w:t>
      </w:r>
    </w:p>
    <w:p w14:paraId="5D385BC1" w14:textId="35FFBDE5" w:rsidR="00B0264D" w:rsidRPr="00202C54" w:rsidRDefault="00B0264D" w:rsidP="00B0264D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 w:rsidRPr="00202C54">
        <w:rPr>
          <w:rFonts w:ascii="Arial" w:hAnsi="Arial" w:cs="Arial"/>
          <w:sz w:val="22"/>
          <w:szCs w:val="22"/>
        </w:rPr>
        <w:t xml:space="preserve">The focus of the publication will be widened to </w:t>
      </w:r>
      <w:r w:rsidRPr="000F26D9">
        <w:rPr>
          <w:rFonts w:ascii="Arial" w:hAnsi="Arial" w:cs="Arial"/>
          <w:sz w:val="22"/>
          <w:szCs w:val="22"/>
        </w:rPr>
        <w:t xml:space="preserve">cover </w:t>
      </w:r>
      <w:r w:rsidR="00764CEC" w:rsidRPr="00764CEC">
        <w:rPr>
          <w:rFonts w:ascii="Arial" w:hAnsi="Arial" w:cs="Arial"/>
          <w:sz w:val="22"/>
          <w:szCs w:val="22"/>
        </w:rPr>
        <w:t>families and the labour market</w:t>
      </w:r>
      <w:r w:rsidR="000F26D9" w:rsidRPr="00764CEC">
        <w:rPr>
          <w:rFonts w:ascii="Arial" w:hAnsi="Arial" w:cs="Arial"/>
          <w:sz w:val="22"/>
          <w:szCs w:val="22"/>
        </w:rPr>
        <w:t>,</w:t>
      </w:r>
      <w:r w:rsidRPr="00202C54">
        <w:rPr>
          <w:rFonts w:ascii="Arial" w:hAnsi="Arial" w:cs="Arial"/>
          <w:sz w:val="22"/>
          <w:szCs w:val="22"/>
        </w:rPr>
        <w:t xml:space="preserve"> and analysis across both genders will be included.</w:t>
      </w:r>
    </w:p>
    <w:p w14:paraId="107D88D0" w14:textId="0C4EA4B3" w:rsidR="00B0264D" w:rsidRPr="00202C54" w:rsidRDefault="00AD4BC4" w:rsidP="00B0264D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 w:rsidRPr="00202C54">
        <w:rPr>
          <w:rFonts w:ascii="Arial" w:hAnsi="Arial" w:cs="Arial"/>
          <w:sz w:val="22"/>
          <w:szCs w:val="22"/>
        </w:rPr>
        <w:t>As a result of ongoing development of our annual and quarterly publications, this publication will remain under review and users will be informed of any planned changes.</w:t>
      </w:r>
    </w:p>
    <w:p w14:paraId="36FD81B4" w14:textId="77777777" w:rsidR="00DF2EAC" w:rsidRDefault="00DF2EAC" w:rsidP="00DF2EAC"/>
    <w:p w14:paraId="26846A71" w14:textId="77777777" w:rsidR="00DF2EAC" w:rsidRPr="000F26D9" w:rsidRDefault="00DF2EAC" w:rsidP="00DF2EAC">
      <w:pPr>
        <w:rPr>
          <w:color w:val="FFFFFF" w:themeColor="background1"/>
        </w:rPr>
      </w:pPr>
    </w:p>
    <w:p w14:paraId="40F43875" w14:textId="77777777" w:rsidR="00DF2EAC" w:rsidRDefault="00DF2EAC" w:rsidP="00DF2EAC"/>
    <w:p w14:paraId="7426BE50" w14:textId="77777777" w:rsidR="00DF2EAC" w:rsidRDefault="00DF2EAC" w:rsidP="00DF2EAC"/>
    <w:p w14:paraId="0D5FECCA" w14:textId="340BC040" w:rsidR="00DF2EAC" w:rsidRDefault="00DF2EAC">
      <w:r>
        <w:br w:type="page"/>
      </w:r>
    </w:p>
    <w:p w14:paraId="41DB19F0" w14:textId="565742B7" w:rsidR="00DF2EAC" w:rsidRPr="00202C54" w:rsidRDefault="00DF2EAC" w:rsidP="00DF2EAC">
      <w:pPr>
        <w:rPr>
          <w:rFonts w:ascii="Arial" w:hAnsi="Arial" w:cs="Arial"/>
          <w:b/>
          <w:sz w:val="28"/>
          <w:szCs w:val="28"/>
        </w:rPr>
      </w:pPr>
      <w:r w:rsidRPr="00202C54">
        <w:rPr>
          <w:rFonts w:ascii="Arial" w:hAnsi="Arial" w:cs="Arial"/>
          <w:b/>
          <w:sz w:val="28"/>
          <w:szCs w:val="28"/>
        </w:rPr>
        <w:lastRenderedPageBreak/>
        <w:t>Annex 1</w:t>
      </w:r>
    </w:p>
    <w:p w14:paraId="0D7ED8FE" w14:textId="77777777" w:rsidR="00DF2EAC" w:rsidRDefault="00DF2EAC" w:rsidP="00DF2EAC"/>
    <w:p w14:paraId="6B43AE74" w14:textId="77777777" w:rsidR="00DF2EAC" w:rsidRPr="00202C54" w:rsidRDefault="00DF2EAC" w:rsidP="00DF2EAC">
      <w:pPr>
        <w:rPr>
          <w:rFonts w:ascii="Arial" w:hAnsi="Arial" w:cs="Arial"/>
          <w:b/>
        </w:rPr>
      </w:pPr>
      <w:r w:rsidRPr="00202C54">
        <w:rPr>
          <w:rFonts w:ascii="Arial" w:hAnsi="Arial" w:cs="Arial"/>
          <w:b/>
        </w:rPr>
        <w:t>3.2 Childcare provision Day care places (source: Department of Health)</w:t>
      </w:r>
    </w:p>
    <w:p w14:paraId="1E88895C" w14:textId="77777777" w:rsidR="00DF2EAC" w:rsidRPr="00202C54" w:rsidRDefault="00067E9A" w:rsidP="00DF2EAC">
      <w:pPr>
        <w:rPr>
          <w:rFonts w:ascii="Arial" w:hAnsi="Arial" w:cs="Arial"/>
        </w:rPr>
      </w:pPr>
      <w:hyperlink r:id="rId9" w:history="1">
        <w:r w:rsidR="00DF2EAC" w:rsidRPr="00202C54">
          <w:rPr>
            <w:rStyle w:val="Hyperlink"/>
            <w:rFonts w:ascii="Arial" w:hAnsi="Arial" w:cs="Arial"/>
          </w:rPr>
          <w:t>https://www.health-ni.gov.uk/topics/dhssps-statistics-and-research/childrens-services-statistics</w:t>
        </w:r>
      </w:hyperlink>
      <w:r w:rsidR="00DF2EAC" w:rsidRPr="00202C54">
        <w:rPr>
          <w:rFonts w:ascii="Arial" w:hAnsi="Arial" w:cs="Arial"/>
        </w:rPr>
        <w:t xml:space="preserve">  link to Children’s services statistics</w:t>
      </w:r>
    </w:p>
    <w:p w14:paraId="770A5394" w14:textId="77777777" w:rsidR="00DF2EAC" w:rsidRPr="00202C54" w:rsidRDefault="00067E9A" w:rsidP="00DF2EAC">
      <w:pPr>
        <w:rPr>
          <w:rFonts w:ascii="Arial" w:hAnsi="Arial" w:cs="Arial"/>
        </w:rPr>
      </w:pPr>
      <w:hyperlink r:id="rId10" w:history="1">
        <w:r w:rsidR="00DF2EAC" w:rsidRPr="00202C54">
          <w:rPr>
            <w:rStyle w:val="Hyperlink"/>
            <w:rFonts w:ascii="Arial" w:hAnsi="Arial" w:cs="Arial"/>
          </w:rPr>
          <w:t>https://www.health-ni.gov.uk/sites/default/files/publications/health/child-social-care-16-17.pdf</w:t>
        </w:r>
      </w:hyperlink>
      <w:r w:rsidR="00DF2EAC" w:rsidRPr="00202C54">
        <w:rPr>
          <w:rFonts w:ascii="Arial" w:hAnsi="Arial" w:cs="Arial"/>
        </w:rPr>
        <w:t xml:space="preserve"> link to publication </w:t>
      </w:r>
    </w:p>
    <w:p w14:paraId="623547B4" w14:textId="77777777" w:rsidR="00DF2EAC" w:rsidRPr="00202C54" w:rsidRDefault="00DF2EAC" w:rsidP="00DF2EAC">
      <w:pPr>
        <w:rPr>
          <w:rFonts w:ascii="Arial" w:hAnsi="Arial" w:cs="Arial"/>
        </w:rPr>
      </w:pPr>
    </w:p>
    <w:p w14:paraId="310CB6CF" w14:textId="77777777" w:rsidR="00DF2EAC" w:rsidRPr="00202C54" w:rsidRDefault="00DF2EAC" w:rsidP="00DF2EAC">
      <w:pPr>
        <w:rPr>
          <w:rFonts w:ascii="Arial" w:hAnsi="Arial" w:cs="Arial"/>
          <w:b/>
        </w:rPr>
      </w:pPr>
      <w:r w:rsidRPr="00202C54">
        <w:rPr>
          <w:rFonts w:ascii="Arial" w:hAnsi="Arial" w:cs="Arial"/>
          <w:b/>
        </w:rPr>
        <w:t>3.3 Assistance for parents Benefit Claimants (Source: Department for Communities)</w:t>
      </w:r>
    </w:p>
    <w:p w14:paraId="4FCDE4B0" w14:textId="77777777" w:rsidR="00DF2EAC" w:rsidRPr="00202C54" w:rsidRDefault="00067E9A" w:rsidP="00DF2EAC">
      <w:pPr>
        <w:rPr>
          <w:rFonts w:ascii="Arial" w:hAnsi="Arial" w:cs="Arial"/>
        </w:rPr>
      </w:pPr>
      <w:hyperlink r:id="rId11" w:history="1">
        <w:r w:rsidR="00DF2EAC" w:rsidRPr="00202C54">
          <w:rPr>
            <w:rStyle w:val="Hyperlink"/>
            <w:rFonts w:ascii="Arial" w:hAnsi="Arial" w:cs="Arial"/>
          </w:rPr>
          <w:t>https://www.communities-ni.gov.uk/topics/benefits-statistics</w:t>
        </w:r>
      </w:hyperlink>
      <w:r w:rsidR="00DF2EAC" w:rsidRPr="00202C54">
        <w:rPr>
          <w:rFonts w:ascii="Arial" w:hAnsi="Arial" w:cs="Arial"/>
        </w:rPr>
        <w:t xml:space="preserve"> link to benefits statistics summary publication</w:t>
      </w:r>
    </w:p>
    <w:p w14:paraId="28CB0456" w14:textId="77777777" w:rsidR="00DF2EAC" w:rsidRPr="00202C54" w:rsidRDefault="00067E9A" w:rsidP="00DF2EAC">
      <w:pPr>
        <w:rPr>
          <w:rFonts w:ascii="Arial" w:hAnsi="Arial" w:cs="Arial"/>
        </w:rPr>
      </w:pPr>
      <w:hyperlink r:id="rId12" w:history="1">
        <w:r w:rsidR="00DF2EAC" w:rsidRPr="00202C54">
          <w:rPr>
            <w:rStyle w:val="Hyperlink"/>
            <w:rFonts w:ascii="Arial" w:hAnsi="Arial" w:cs="Arial"/>
          </w:rPr>
          <w:t>https://www.communities-ni.gov.uk/publications/benefits-statistics-summary-publication-national-statistics-november-2017</w:t>
        </w:r>
      </w:hyperlink>
      <w:r w:rsidR="00DF2EAC" w:rsidRPr="00202C54">
        <w:rPr>
          <w:rFonts w:ascii="Arial" w:hAnsi="Arial" w:cs="Arial"/>
        </w:rPr>
        <w:t xml:space="preserve"> link to publication  </w:t>
      </w:r>
    </w:p>
    <w:p w14:paraId="0F722D43" w14:textId="77777777" w:rsidR="00DF2EAC" w:rsidRPr="00202C54" w:rsidRDefault="00DF2EAC" w:rsidP="00DF2EAC">
      <w:pPr>
        <w:rPr>
          <w:rFonts w:ascii="Arial" w:hAnsi="Arial" w:cs="Arial"/>
        </w:rPr>
      </w:pPr>
    </w:p>
    <w:p w14:paraId="2A3F2AE6" w14:textId="77777777" w:rsidR="00DF2EAC" w:rsidRPr="00202C54" w:rsidRDefault="00DF2EAC" w:rsidP="00DF2EAC">
      <w:pPr>
        <w:rPr>
          <w:rFonts w:ascii="Arial" w:hAnsi="Arial" w:cs="Arial"/>
        </w:rPr>
      </w:pPr>
      <w:r w:rsidRPr="00202C54">
        <w:rPr>
          <w:rFonts w:ascii="Arial" w:hAnsi="Arial" w:cs="Arial"/>
        </w:rPr>
        <w:t>Child and working tax credits (source: Her Majesty’s Revenue and Customs)</w:t>
      </w:r>
    </w:p>
    <w:p w14:paraId="545D7EF0" w14:textId="77777777" w:rsidR="00DF2EAC" w:rsidRPr="00202C54" w:rsidRDefault="00067E9A" w:rsidP="00DF2EAC">
      <w:pPr>
        <w:rPr>
          <w:rFonts w:ascii="Arial" w:hAnsi="Arial" w:cs="Arial"/>
        </w:rPr>
      </w:pPr>
      <w:hyperlink r:id="rId13" w:history="1">
        <w:r w:rsidR="00DF2EAC" w:rsidRPr="00202C54">
          <w:rPr>
            <w:rStyle w:val="Hyperlink"/>
            <w:rFonts w:ascii="Arial" w:hAnsi="Arial" w:cs="Arial"/>
          </w:rPr>
          <w:t>https://www.gov.uk/government/collections/personal-tax-credits-statistics</w:t>
        </w:r>
      </w:hyperlink>
      <w:r w:rsidR="00DF2EAC" w:rsidRPr="00202C54">
        <w:rPr>
          <w:rFonts w:ascii="Arial" w:hAnsi="Arial" w:cs="Arial"/>
        </w:rPr>
        <w:t xml:space="preserve"> link to personal tax credit statistics </w:t>
      </w:r>
    </w:p>
    <w:p w14:paraId="21DB9EAC" w14:textId="77777777" w:rsidR="00DF2EAC" w:rsidRPr="00202C54" w:rsidRDefault="00067E9A" w:rsidP="00DF2EAC">
      <w:pPr>
        <w:rPr>
          <w:rFonts w:ascii="Arial" w:hAnsi="Arial" w:cs="Arial"/>
        </w:rPr>
      </w:pPr>
      <w:hyperlink r:id="rId14" w:history="1">
        <w:r w:rsidR="00DF2EAC" w:rsidRPr="00202C54">
          <w:rPr>
            <w:rStyle w:val="Hyperlink"/>
            <w:rFonts w:ascii="Arial" w:hAnsi="Arial" w:cs="Arial"/>
          </w:rPr>
          <w:t>https://assets.publishing.service.gov.uk/government/uploads/system/uploads/attachment_data/file/617128/Child_and_Working_Tax_Credits_statistics_finalised_annual_awards_-_2015_to_2016.pdf</w:t>
        </w:r>
      </w:hyperlink>
      <w:r w:rsidR="00DF2EAC" w:rsidRPr="00202C54">
        <w:rPr>
          <w:rFonts w:ascii="Arial" w:hAnsi="Arial" w:cs="Arial"/>
        </w:rPr>
        <w:t xml:space="preserve"> link to publication</w:t>
      </w:r>
    </w:p>
    <w:p w14:paraId="0162EC07" w14:textId="77777777" w:rsidR="00DF2EAC" w:rsidRPr="00202C54" w:rsidRDefault="00DF2EAC" w:rsidP="00DF2EAC">
      <w:pPr>
        <w:rPr>
          <w:rFonts w:ascii="Arial" w:hAnsi="Arial" w:cs="Arial"/>
        </w:rPr>
      </w:pPr>
    </w:p>
    <w:p w14:paraId="4B057D38" w14:textId="77777777" w:rsidR="00DF2EAC" w:rsidRPr="00202C54" w:rsidRDefault="00DF2EAC" w:rsidP="00DF2EAC">
      <w:pPr>
        <w:rPr>
          <w:rFonts w:ascii="Arial" w:hAnsi="Arial" w:cs="Arial"/>
          <w:b/>
        </w:rPr>
      </w:pPr>
      <w:r w:rsidRPr="00202C54">
        <w:rPr>
          <w:rFonts w:ascii="Arial" w:hAnsi="Arial" w:cs="Arial"/>
          <w:b/>
        </w:rPr>
        <w:t>4 Educational standards (Source: Department of Education)</w:t>
      </w:r>
    </w:p>
    <w:p w14:paraId="2CA19B6C" w14:textId="77777777" w:rsidR="00DF2EAC" w:rsidRPr="00202C54" w:rsidRDefault="00067E9A" w:rsidP="00DF2EAC">
      <w:pPr>
        <w:rPr>
          <w:rFonts w:ascii="Arial" w:hAnsi="Arial" w:cs="Arial"/>
        </w:rPr>
      </w:pPr>
      <w:hyperlink r:id="rId15" w:history="1">
        <w:r w:rsidR="00DF2EAC" w:rsidRPr="00202C54">
          <w:rPr>
            <w:rStyle w:val="Hyperlink"/>
            <w:rFonts w:ascii="Arial" w:hAnsi="Arial" w:cs="Arial"/>
          </w:rPr>
          <w:t>https://www.education-ni.gov.uk/publications/school-leavers-201516-statistical-bulletin</w:t>
        </w:r>
      </w:hyperlink>
      <w:r w:rsidR="00DF2EAC" w:rsidRPr="00202C54">
        <w:rPr>
          <w:rFonts w:ascii="Arial" w:hAnsi="Arial" w:cs="Arial"/>
        </w:rPr>
        <w:t xml:space="preserve"> link to school leavers statistics</w:t>
      </w:r>
    </w:p>
    <w:p w14:paraId="4ED44783" w14:textId="77777777" w:rsidR="00DF2EAC" w:rsidRPr="00202C54" w:rsidRDefault="00067E9A" w:rsidP="00DF2EAC">
      <w:pPr>
        <w:rPr>
          <w:rFonts w:ascii="Arial" w:hAnsi="Arial" w:cs="Arial"/>
        </w:rPr>
      </w:pPr>
      <w:hyperlink r:id="rId16" w:history="1">
        <w:r w:rsidR="00DF2EAC" w:rsidRPr="00202C54">
          <w:rPr>
            <w:rStyle w:val="Hyperlink"/>
            <w:rFonts w:ascii="Arial" w:hAnsi="Arial" w:cs="Arial"/>
          </w:rPr>
          <w:t>https://www.education-ni.gov.uk/sites/default/files/publications/education/Qualifications%20and%20Destinations%20of%20Northern%20Ireland%20School%20Leavers%20201516.pdf</w:t>
        </w:r>
      </w:hyperlink>
      <w:r w:rsidR="00DF2EAC" w:rsidRPr="00202C54">
        <w:rPr>
          <w:rFonts w:ascii="Arial" w:hAnsi="Arial" w:cs="Arial"/>
        </w:rPr>
        <w:t xml:space="preserve"> link to publication</w:t>
      </w:r>
    </w:p>
    <w:p w14:paraId="40C85F28" w14:textId="77777777" w:rsidR="00DF2EAC" w:rsidRPr="00202C54" w:rsidRDefault="00DF2EAC" w:rsidP="00DF2EAC">
      <w:pPr>
        <w:rPr>
          <w:rFonts w:ascii="Arial" w:hAnsi="Arial" w:cs="Arial"/>
        </w:rPr>
      </w:pPr>
      <w:r w:rsidRPr="00202C54">
        <w:rPr>
          <w:rFonts w:ascii="Arial" w:hAnsi="Arial" w:cs="Arial"/>
        </w:rPr>
        <w:t>Higher and Further Education (source: Department for the Economy)</w:t>
      </w:r>
    </w:p>
    <w:p w14:paraId="61F750F4" w14:textId="77777777" w:rsidR="00DF2EAC" w:rsidRPr="00202C54" w:rsidRDefault="00067E9A" w:rsidP="00DF2EAC">
      <w:pPr>
        <w:rPr>
          <w:rFonts w:ascii="Arial" w:hAnsi="Arial" w:cs="Arial"/>
        </w:rPr>
      </w:pPr>
      <w:hyperlink r:id="rId17" w:history="1">
        <w:r w:rsidR="00DF2EAC" w:rsidRPr="00202C54">
          <w:rPr>
            <w:rStyle w:val="Hyperlink"/>
            <w:rFonts w:ascii="Arial" w:hAnsi="Arial" w:cs="Arial"/>
          </w:rPr>
          <w:t>https://www.economy-ni.gov.uk/publications/further-education-activity-northern-ireland-201617</w:t>
        </w:r>
      </w:hyperlink>
      <w:r w:rsidR="00DF2EAC" w:rsidRPr="00202C54">
        <w:rPr>
          <w:rFonts w:ascii="Arial" w:hAnsi="Arial" w:cs="Arial"/>
        </w:rPr>
        <w:t xml:space="preserve"> </w:t>
      </w:r>
    </w:p>
    <w:p w14:paraId="67E98F28" w14:textId="77777777" w:rsidR="00DF2EAC" w:rsidRPr="00202C54" w:rsidRDefault="00067E9A" w:rsidP="00DF2EAC">
      <w:pPr>
        <w:rPr>
          <w:rFonts w:ascii="Arial" w:hAnsi="Arial" w:cs="Arial"/>
        </w:rPr>
      </w:pPr>
      <w:hyperlink r:id="rId18" w:history="1">
        <w:r w:rsidR="00DF2EAC" w:rsidRPr="00202C54">
          <w:rPr>
            <w:rStyle w:val="Hyperlink"/>
            <w:rFonts w:ascii="Arial" w:hAnsi="Arial" w:cs="Arial"/>
          </w:rPr>
          <w:t>https://www.economy-ni.gov.uk/sites/default/files/publications/economy/FE-Activity-Statistical-Bulletin-1314-to-1617_0.pdf</w:t>
        </w:r>
      </w:hyperlink>
      <w:r w:rsidR="00DF2EAC" w:rsidRPr="00202C54">
        <w:rPr>
          <w:rFonts w:ascii="Arial" w:hAnsi="Arial" w:cs="Arial"/>
        </w:rPr>
        <w:t xml:space="preserve"> </w:t>
      </w:r>
    </w:p>
    <w:p w14:paraId="0625EEAA" w14:textId="77777777" w:rsidR="00DF2EAC" w:rsidRPr="00202C54" w:rsidRDefault="00067E9A" w:rsidP="00DF2EAC">
      <w:pPr>
        <w:rPr>
          <w:rFonts w:ascii="Arial" w:hAnsi="Arial" w:cs="Arial"/>
        </w:rPr>
      </w:pPr>
      <w:hyperlink r:id="rId19" w:history="1">
        <w:r w:rsidR="00DF2EAC" w:rsidRPr="00202C54">
          <w:rPr>
            <w:rStyle w:val="Hyperlink"/>
            <w:rFonts w:ascii="Arial" w:hAnsi="Arial" w:cs="Arial"/>
          </w:rPr>
          <w:t>https://www.hesa.ac.uk/data-and-analysis/students/what-study</w:t>
        </w:r>
      </w:hyperlink>
      <w:r w:rsidR="00DF2EAC" w:rsidRPr="00202C54">
        <w:rPr>
          <w:rFonts w:ascii="Arial" w:hAnsi="Arial" w:cs="Arial"/>
        </w:rPr>
        <w:t xml:space="preserve"> </w:t>
      </w:r>
    </w:p>
    <w:p w14:paraId="7841B045" w14:textId="77777777" w:rsidR="00DF2EAC" w:rsidRPr="00202C54" w:rsidRDefault="00DF2EAC" w:rsidP="00DF2EAC">
      <w:pPr>
        <w:rPr>
          <w:rFonts w:ascii="Arial" w:hAnsi="Arial" w:cs="Arial"/>
        </w:rPr>
      </w:pPr>
      <w:r w:rsidRPr="00202C54">
        <w:rPr>
          <w:rFonts w:ascii="Arial" w:hAnsi="Arial" w:cs="Arial"/>
        </w:rPr>
        <w:t>Subject Choices at NI Further Education Colleges (source: Department for the Economy)</w:t>
      </w:r>
    </w:p>
    <w:p w14:paraId="0B142FF8" w14:textId="77777777" w:rsidR="00DF2EAC" w:rsidRPr="00202C54" w:rsidRDefault="00067E9A" w:rsidP="00DF2EAC">
      <w:pPr>
        <w:rPr>
          <w:rFonts w:ascii="Arial" w:hAnsi="Arial" w:cs="Arial"/>
        </w:rPr>
      </w:pPr>
      <w:hyperlink r:id="rId20" w:history="1">
        <w:r w:rsidR="00DF2EAC" w:rsidRPr="00202C54">
          <w:rPr>
            <w:rStyle w:val="Hyperlink"/>
            <w:rFonts w:ascii="Arial" w:hAnsi="Arial" w:cs="Arial"/>
          </w:rPr>
          <w:t>https://www.economy-ni.gov.uk/sites/default/files/publications/economy/FE-Activity-Statistical-Bulletin-1314-to-1617_0.pdf</w:t>
        </w:r>
      </w:hyperlink>
      <w:r w:rsidR="00DF2EAC" w:rsidRPr="00202C54">
        <w:rPr>
          <w:rStyle w:val="Hyperlink"/>
          <w:rFonts w:ascii="Arial" w:hAnsi="Arial" w:cs="Arial"/>
        </w:rPr>
        <w:t xml:space="preserve"> </w:t>
      </w:r>
      <w:r w:rsidR="00DF2EAC" w:rsidRPr="00202C54">
        <w:rPr>
          <w:rFonts w:ascii="Arial" w:hAnsi="Arial" w:cs="Arial"/>
        </w:rPr>
        <w:t xml:space="preserve"> link to publication</w:t>
      </w:r>
    </w:p>
    <w:p w14:paraId="2080FBF6" w14:textId="77777777" w:rsidR="00DF2EAC" w:rsidRPr="00202C54" w:rsidRDefault="00DF2EAC" w:rsidP="00DF2EAC">
      <w:pPr>
        <w:rPr>
          <w:rFonts w:ascii="Arial" w:hAnsi="Arial" w:cs="Arial"/>
        </w:rPr>
      </w:pPr>
    </w:p>
    <w:p w14:paraId="0F4ECF0F" w14:textId="77777777" w:rsidR="00DF2EAC" w:rsidRPr="00202C54" w:rsidRDefault="00DF2EAC" w:rsidP="00DF2EAC">
      <w:pPr>
        <w:rPr>
          <w:rFonts w:ascii="Arial" w:hAnsi="Arial" w:cs="Arial"/>
        </w:rPr>
      </w:pPr>
    </w:p>
    <w:p w14:paraId="5D6A18E3" w14:textId="77777777" w:rsidR="00DF2EAC" w:rsidRPr="00202C54" w:rsidRDefault="00DF2EAC" w:rsidP="00DF2EAC">
      <w:pPr>
        <w:rPr>
          <w:rFonts w:ascii="Arial" w:hAnsi="Arial" w:cs="Arial"/>
          <w:b/>
        </w:rPr>
      </w:pPr>
      <w:r w:rsidRPr="00202C54">
        <w:rPr>
          <w:rFonts w:ascii="Arial" w:hAnsi="Arial" w:cs="Arial"/>
          <w:b/>
        </w:rPr>
        <w:t>5 Women in politics and public life</w:t>
      </w:r>
    </w:p>
    <w:p w14:paraId="4A499D46" w14:textId="77777777" w:rsidR="00DF2EAC" w:rsidRPr="00202C54" w:rsidRDefault="00067E9A" w:rsidP="00DF2EAC">
      <w:pPr>
        <w:rPr>
          <w:rFonts w:ascii="Arial" w:hAnsi="Arial" w:cs="Arial"/>
        </w:rPr>
      </w:pPr>
      <w:hyperlink r:id="rId21" w:history="1">
        <w:r w:rsidR="00DF2EAC" w:rsidRPr="00202C54">
          <w:rPr>
            <w:rStyle w:val="Hyperlink"/>
            <w:rFonts w:ascii="Arial" w:hAnsi="Arial" w:cs="Arial"/>
          </w:rPr>
          <w:t>https://www.executiveoffice-ni.gov.uk/articles/public-appointments</w:t>
        </w:r>
      </w:hyperlink>
      <w:r w:rsidR="00DF2EAC" w:rsidRPr="00202C54">
        <w:rPr>
          <w:rFonts w:ascii="Arial" w:hAnsi="Arial" w:cs="Arial"/>
        </w:rPr>
        <w:t xml:space="preserve"> </w:t>
      </w:r>
    </w:p>
    <w:p w14:paraId="052353FC" w14:textId="77777777" w:rsidR="00DF2EAC" w:rsidRPr="00202C54" w:rsidRDefault="00067E9A" w:rsidP="00DF2EAC">
      <w:pPr>
        <w:rPr>
          <w:rFonts w:ascii="Arial" w:hAnsi="Arial" w:cs="Arial"/>
        </w:rPr>
      </w:pPr>
      <w:hyperlink r:id="rId22" w:history="1">
        <w:r w:rsidR="00DF2EAC" w:rsidRPr="00202C54">
          <w:rPr>
            <w:rStyle w:val="Hyperlink"/>
            <w:rFonts w:ascii="Arial" w:hAnsi="Arial" w:cs="Arial"/>
          </w:rPr>
          <w:t>www.parliament.uk</w:t>
        </w:r>
      </w:hyperlink>
      <w:r w:rsidR="00DF2EAC" w:rsidRPr="00202C54">
        <w:rPr>
          <w:rFonts w:ascii="Arial" w:hAnsi="Arial" w:cs="Arial"/>
        </w:rPr>
        <w:t xml:space="preserve">  </w:t>
      </w:r>
    </w:p>
    <w:p w14:paraId="37599DF3" w14:textId="77777777" w:rsidR="00DF2EAC" w:rsidRPr="00202C54" w:rsidRDefault="00067E9A" w:rsidP="00DF2EAC">
      <w:pPr>
        <w:rPr>
          <w:rFonts w:ascii="Arial" w:hAnsi="Arial" w:cs="Arial"/>
        </w:rPr>
      </w:pPr>
      <w:hyperlink r:id="rId23" w:history="1">
        <w:r w:rsidR="00DF2EAC" w:rsidRPr="00202C54">
          <w:rPr>
            <w:rStyle w:val="Hyperlink"/>
            <w:rFonts w:ascii="Arial" w:hAnsi="Arial" w:cs="Arial"/>
          </w:rPr>
          <w:t>www.europarl.europa.eu</w:t>
        </w:r>
      </w:hyperlink>
      <w:r w:rsidR="00DF2EAC" w:rsidRPr="00202C54">
        <w:rPr>
          <w:rFonts w:ascii="Arial" w:hAnsi="Arial" w:cs="Arial"/>
        </w:rPr>
        <w:t xml:space="preserve"> </w:t>
      </w:r>
    </w:p>
    <w:p w14:paraId="040D3DFC" w14:textId="77777777" w:rsidR="00DF2EAC" w:rsidRPr="00202C54" w:rsidRDefault="00DF2EAC" w:rsidP="00DF2EAC">
      <w:pPr>
        <w:rPr>
          <w:rFonts w:ascii="Arial" w:hAnsi="Arial" w:cs="Arial"/>
        </w:rPr>
      </w:pPr>
    </w:p>
    <w:p w14:paraId="0B0FA3B3" w14:textId="77777777" w:rsidR="00DF2EAC" w:rsidRPr="00202C54" w:rsidRDefault="00DF2EAC" w:rsidP="00DF2EAC">
      <w:pPr>
        <w:rPr>
          <w:rFonts w:ascii="Arial" w:hAnsi="Arial" w:cs="Arial"/>
          <w:b/>
        </w:rPr>
      </w:pPr>
      <w:r w:rsidRPr="00202C54">
        <w:rPr>
          <w:rFonts w:ascii="Arial" w:hAnsi="Arial" w:cs="Arial"/>
          <w:b/>
        </w:rPr>
        <w:t>6 Women into business</w:t>
      </w:r>
    </w:p>
    <w:p w14:paraId="7207B183" w14:textId="77777777" w:rsidR="00DF2EAC" w:rsidRPr="00202C54" w:rsidRDefault="00067E9A" w:rsidP="00DF2EAC">
      <w:pPr>
        <w:rPr>
          <w:rFonts w:ascii="Arial" w:hAnsi="Arial" w:cs="Arial"/>
        </w:rPr>
      </w:pPr>
      <w:hyperlink r:id="rId24" w:history="1">
        <w:r w:rsidR="00DF2EAC" w:rsidRPr="00202C54">
          <w:rPr>
            <w:rStyle w:val="Hyperlink"/>
            <w:rFonts w:ascii="Arial" w:hAnsi="Arial" w:cs="Arial"/>
          </w:rPr>
          <w:t>https://www.enterpriseresearch.ac.uk/wp-content/uploads/2017/11/GEM-NI-2016-Final-report.pdf</w:t>
        </w:r>
      </w:hyperlink>
      <w:r w:rsidR="00DF2EAC" w:rsidRPr="00202C54">
        <w:rPr>
          <w:rFonts w:ascii="Arial" w:hAnsi="Arial" w:cs="Arial"/>
        </w:rPr>
        <w:t xml:space="preserve"> link to publication</w:t>
      </w:r>
    </w:p>
    <w:p w14:paraId="6CA75A64" w14:textId="77777777" w:rsidR="00DF2EAC" w:rsidRPr="00202C54" w:rsidRDefault="00DF2EAC" w:rsidP="00DF2EAC">
      <w:pPr>
        <w:rPr>
          <w:rFonts w:ascii="Arial" w:hAnsi="Arial" w:cs="Arial"/>
        </w:rPr>
      </w:pPr>
    </w:p>
    <w:sectPr w:rsidR="00DF2EAC" w:rsidRPr="0020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2A6F" w14:textId="77777777" w:rsidR="003E2806" w:rsidRDefault="003E2806" w:rsidP="0005388C">
      <w:pPr>
        <w:spacing w:after="0" w:line="240" w:lineRule="auto"/>
      </w:pPr>
      <w:r>
        <w:separator/>
      </w:r>
    </w:p>
  </w:endnote>
  <w:endnote w:type="continuationSeparator" w:id="0">
    <w:p w14:paraId="56713DB7" w14:textId="77777777" w:rsidR="003E2806" w:rsidRDefault="003E2806" w:rsidP="0005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2FD8" w14:textId="77777777" w:rsidR="003E2806" w:rsidRDefault="003E2806" w:rsidP="0005388C">
      <w:pPr>
        <w:spacing w:after="0" w:line="240" w:lineRule="auto"/>
      </w:pPr>
      <w:r>
        <w:separator/>
      </w:r>
    </w:p>
  </w:footnote>
  <w:footnote w:type="continuationSeparator" w:id="0">
    <w:p w14:paraId="1B177B7E" w14:textId="77777777" w:rsidR="003E2806" w:rsidRDefault="003E2806" w:rsidP="0005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F34"/>
    <w:multiLevelType w:val="hybridMultilevel"/>
    <w:tmpl w:val="1E282BCE"/>
    <w:lvl w:ilvl="0" w:tplc="EAF8DFC8">
      <w:start w:val="1"/>
      <w:numFmt w:val="lowerRoman"/>
      <w:lvlText w:val="%1.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D34401B"/>
    <w:multiLevelType w:val="hybridMultilevel"/>
    <w:tmpl w:val="0ED415A2"/>
    <w:lvl w:ilvl="0" w:tplc="1EDEAA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84262B2">
      <w:start w:val="1"/>
      <w:numFmt w:val="upp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E80CC4E0">
      <w:start w:val="1"/>
      <w:numFmt w:val="upperRoman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21E0B"/>
    <w:multiLevelType w:val="hybridMultilevel"/>
    <w:tmpl w:val="C2C6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F6BD74">
      <w:start w:val="1"/>
      <w:numFmt w:val="upperRoman"/>
      <w:lvlText w:val="%4.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07E3"/>
    <w:multiLevelType w:val="hybridMultilevel"/>
    <w:tmpl w:val="3B3260A0"/>
    <w:lvl w:ilvl="0" w:tplc="45B46B1C">
      <w:start w:val="1"/>
      <w:numFmt w:val="upperRoman"/>
      <w:lvlText w:val="%1."/>
      <w:lvlJc w:val="left"/>
      <w:pPr>
        <w:ind w:left="252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546D05"/>
    <w:multiLevelType w:val="hybridMultilevel"/>
    <w:tmpl w:val="FFCE31DA"/>
    <w:lvl w:ilvl="0" w:tplc="E550E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675"/>
    <w:multiLevelType w:val="hybridMultilevel"/>
    <w:tmpl w:val="FAE6E2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16CAD"/>
    <w:multiLevelType w:val="hybridMultilevel"/>
    <w:tmpl w:val="EC40E2CA"/>
    <w:lvl w:ilvl="0" w:tplc="62DE5A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82AFD"/>
    <w:multiLevelType w:val="hybridMultilevel"/>
    <w:tmpl w:val="B4F6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43F9"/>
    <w:multiLevelType w:val="hybridMultilevel"/>
    <w:tmpl w:val="9050B346"/>
    <w:lvl w:ilvl="0" w:tplc="B2748396">
      <w:start w:val="1"/>
      <w:numFmt w:val="upperRoman"/>
      <w:lvlText w:val="%1."/>
      <w:lvlJc w:val="left"/>
      <w:pPr>
        <w:ind w:left="28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860792"/>
    <w:multiLevelType w:val="hybridMultilevel"/>
    <w:tmpl w:val="576A154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864F75"/>
    <w:multiLevelType w:val="hybridMultilevel"/>
    <w:tmpl w:val="C0727C0E"/>
    <w:lvl w:ilvl="0" w:tplc="529EF5BC">
      <w:start w:val="1"/>
      <w:numFmt w:val="upperRoman"/>
      <w:lvlText w:val="%1."/>
      <w:lvlJc w:val="left"/>
      <w:pPr>
        <w:ind w:left="1488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262B7680"/>
    <w:multiLevelType w:val="hybridMultilevel"/>
    <w:tmpl w:val="AC443266"/>
    <w:lvl w:ilvl="0" w:tplc="C610E6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5276"/>
    <w:multiLevelType w:val="hybridMultilevel"/>
    <w:tmpl w:val="9F065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1621"/>
    <w:multiLevelType w:val="hybridMultilevel"/>
    <w:tmpl w:val="2DE64E44"/>
    <w:lvl w:ilvl="0" w:tplc="6D26D642">
      <w:start w:val="1"/>
      <w:numFmt w:val="upperRoman"/>
      <w:lvlText w:val="%1."/>
      <w:lvlJc w:val="left"/>
      <w:pPr>
        <w:ind w:left="25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865250"/>
    <w:multiLevelType w:val="hybridMultilevel"/>
    <w:tmpl w:val="AC689726"/>
    <w:lvl w:ilvl="0" w:tplc="45B46B1C">
      <w:start w:val="1"/>
      <w:numFmt w:val="upperRoman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8233FD"/>
    <w:multiLevelType w:val="hybridMultilevel"/>
    <w:tmpl w:val="21DC6A1C"/>
    <w:lvl w:ilvl="0" w:tplc="4D88E1E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A5441B"/>
    <w:multiLevelType w:val="hybridMultilevel"/>
    <w:tmpl w:val="0AD83D50"/>
    <w:lvl w:ilvl="0" w:tplc="B88EB59C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ED7485"/>
    <w:multiLevelType w:val="hybridMultilevel"/>
    <w:tmpl w:val="7750BFF2"/>
    <w:lvl w:ilvl="0" w:tplc="78F28128">
      <w:start w:val="1"/>
      <w:numFmt w:val="upperRoman"/>
      <w:lvlText w:val="%1."/>
      <w:lvlJc w:val="left"/>
      <w:pPr>
        <w:ind w:left="252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AB6CC4"/>
    <w:multiLevelType w:val="hybridMultilevel"/>
    <w:tmpl w:val="C68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4A54"/>
    <w:multiLevelType w:val="hybridMultilevel"/>
    <w:tmpl w:val="A2CAAE48"/>
    <w:lvl w:ilvl="0" w:tplc="3FE802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46BCE"/>
    <w:multiLevelType w:val="hybridMultilevel"/>
    <w:tmpl w:val="33DAA860"/>
    <w:lvl w:ilvl="0" w:tplc="C610E6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2515"/>
    <w:multiLevelType w:val="hybridMultilevel"/>
    <w:tmpl w:val="8B34C1D2"/>
    <w:lvl w:ilvl="0" w:tplc="86003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C4A13"/>
    <w:multiLevelType w:val="hybridMultilevel"/>
    <w:tmpl w:val="F6BE6496"/>
    <w:lvl w:ilvl="0" w:tplc="62DE5A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874A58"/>
    <w:multiLevelType w:val="hybridMultilevel"/>
    <w:tmpl w:val="B25A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55C62"/>
    <w:multiLevelType w:val="hybridMultilevel"/>
    <w:tmpl w:val="BC7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9449D"/>
    <w:multiLevelType w:val="hybridMultilevel"/>
    <w:tmpl w:val="41D8520E"/>
    <w:lvl w:ilvl="0" w:tplc="86003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E0879"/>
    <w:multiLevelType w:val="hybridMultilevel"/>
    <w:tmpl w:val="5440A6DC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E87883"/>
    <w:multiLevelType w:val="hybridMultilevel"/>
    <w:tmpl w:val="344E121A"/>
    <w:lvl w:ilvl="0" w:tplc="529EF5BC">
      <w:start w:val="1"/>
      <w:numFmt w:val="upperRoman"/>
      <w:lvlText w:val="%1.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27"/>
  </w:num>
  <w:num w:numId="5">
    <w:abstractNumId w:val="4"/>
  </w:num>
  <w:num w:numId="6">
    <w:abstractNumId w:val="25"/>
  </w:num>
  <w:num w:numId="7">
    <w:abstractNumId w:val="21"/>
  </w:num>
  <w:num w:numId="8">
    <w:abstractNumId w:val="11"/>
  </w:num>
  <w:num w:numId="9">
    <w:abstractNumId w:val="20"/>
  </w:num>
  <w:num w:numId="10">
    <w:abstractNumId w:val="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5"/>
  </w:num>
  <w:num w:numId="16">
    <w:abstractNumId w:val="8"/>
  </w:num>
  <w:num w:numId="17">
    <w:abstractNumId w:val="16"/>
  </w:num>
  <w:num w:numId="18">
    <w:abstractNumId w:val="15"/>
  </w:num>
  <w:num w:numId="19">
    <w:abstractNumId w:val="19"/>
  </w:num>
  <w:num w:numId="20">
    <w:abstractNumId w:val="13"/>
  </w:num>
  <w:num w:numId="21">
    <w:abstractNumId w:val="1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7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6"/>
    <w:rsid w:val="0004064D"/>
    <w:rsid w:val="0005388C"/>
    <w:rsid w:val="00055D89"/>
    <w:rsid w:val="00067E9A"/>
    <w:rsid w:val="000A0A96"/>
    <w:rsid w:val="000D0C84"/>
    <w:rsid w:val="000F0F10"/>
    <w:rsid w:val="000F26D9"/>
    <w:rsid w:val="00113A8F"/>
    <w:rsid w:val="001147E7"/>
    <w:rsid w:val="001710ED"/>
    <w:rsid w:val="001844D4"/>
    <w:rsid w:val="00202C54"/>
    <w:rsid w:val="00211661"/>
    <w:rsid w:val="00256BEE"/>
    <w:rsid w:val="002E637E"/>
    <w:rsid w:val="0030272D"/>
    <w:rsid w:val="003A1887"/>
    <w:rsid w:val="003C0799"/>
    <w:rsid w:val="003C7369"/>
    <w:rsid w:val="003E2806"/>
    <w:rsid w:val="003E640D"/>
    <w:rsid w:val="003F4448"/>
    <w:rsid w:val="00424BEF"/>
    <w:rsid w:val="004334D5"/>
    <w:rsid w:val="004864CA"/>
    <w:rsid w:val="00544C86"/>
    <w:rsid w:val="0054540A"/>
    <w:rsid w:val="005605E1"/>
    <w:rsid w:val="0057216D"/>
    <w:rsid w:val="00586555"/>
    <w:rsid w:val="005A1709"/>
    <w:rsid w:val="005A31F3"/>
    <w:rsid w:val="005C3275"/>
    <w:rsid w:val="005C7F61"/>
    <w:rsid w:val="005E5093"/>
    <w:rsid w:val="005F1E85"/>
    <w:rsid w:val="005F3D7E"/>
    <w:rsid w:val="00656B16"/>
    <w:rsid w:val="00661235"/>
    <w:rsid w:val="006C10BC"/>
    <w:rsid w:val="006D1EBE"/>
    <w:rsid w:val="00764CEC"/>
    <w:rsid w:val="007F7CA2"/>
    <w:rsid w:val="00821A03"/>
    <w:rsid w:val="00856658"/>
    <w:rsid w:val="00864BB1"/>
    <w:rsid w:val="00881046"/>
    <w:rsid w:val="00881104"/>
    <w:rsid w:val="00890AA5"/>
    <w:rsid w:val="008D6F18"/>
    <w:rsid w:val="008E504F"/>
    <w:rsid w:val="009210CA"/>
    <w:rsid w:val="009C687F"/>
    <w:rsid w:val="00A37AC2"/>
    <w:rsid w:val="00A621A2"/>
    <w:rsid w:val="00AC1E3F"/>
    <w:rsid w:val="00AD4BC4"/>
    <w:rsid w:val="00B0264D"/>
    <w:rsid w:val="00B51E9D"/>
    <w:rsid w:val="00B85F49"/>
    <w:rsid w:val="00BE3964"/>
    <w:rsid w:val="00C166CC"/>
    <w:rsid w:val="00C86DD2"/>
    <w:rsid w:val="00C92E02"/>
    <w:rsid w:val="00CB1D5B"/>
    <w:rsid w:val="00CB69EF"/>
    <w:rsid w:val="00CC4E3F"/>
    <w:rsid w:val="00CC7613"/>
    <w:rsid w:val="00CD3131"/>
    <w:rsid w:val="00D30AAF"/>
    <w:rsid w:val="00D77C8A"/>
    <w:rsid w:val="00DF2EAC"/>
    <w:rsid w:val="00DF6A6D"/>
    <w:rsid w:val="00E131C1"/>
    <w:rsid w:val="00E6508E"/>
    <w:rsid w:val="00E92FD1"/>
    <w:rsid w:val="00EE7ACD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5D2A"/>
  <w15:chartTrackingRefBased/>
  <w15:docId w15:val="{AE1E2B3A-F6AD-4507-AF70-D5CB4A6D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88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53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388C"/>
    <w:rPr>
      <w:lang w:val="en-US"/>
    </w:rPr>
  </w:style>
  <w:style w:type="paragraph" w:styleId="ListParagraph">
    <w:name w:val="List Paragraph"/>
    <w:basedOn w:val="Normal"/>
    <w:uiPriority w:val="34"/>
    <w:qFormat/>
    <w:rsid w:val="00053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538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56B1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B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62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8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70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3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25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7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7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2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0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2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2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693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9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7965">
                          <w:marLeft w:val="0"/>
                          <w:marRight w:val="0"/>
                          <w:marTop w:val="7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7102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single" w:sz="6" w:space="2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gov.uk/government/collections/personal-tax-credits-statistics" TargetMode="External"/><Relationship Id="rId18" Type="http://schemas.openxmlformats.org/officeDocument/2006/relationships/hyperlink" Target="https://www.economy-ni.gov.uk/sites/default/files/publications/economy/FE-Activity-Statistical-Bulletin-1314-to-1617_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xecutiveoffice-ni.gov.uk/articles/public-appointment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ommunities-ni.gov.uk/publications/benefits-statistics-summary-publication-national-statistics-november-2017" TargetMode="External"/><Relationship Id="rId17" Type="http://schemas.openxmlformats.org/officeDocument/2006/relationships/hyperlink" Target="https://www.economy-ni.gov.uk/publications/further-education-activity-northern-ireland-2016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cation-ni.gov.uk/sites/default/files/publications/education/Qualifications%20and%20Destinations%20of%20Northern%20Ireland%20School%20Leavers%20201516.pdf" TargetMode="External"/><Relationship Id="rId20" Type="http://schemas.openxmlformats.org/officeDocument/2006/relationships/hyperlink" Target="https://www.economy-ni.gov.uk/sites/default/files/publications/economy/FE-Activity-Statistical-Bulletin-1314-to-1617_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unities-ni.gov.uk/topics/benefits-statistics" TargetMode="External"/><Relationship Id="rId24" Type="http://schemas.openxmlformats.org/officeDocument/2006/relationships/hyperlink" Target="https://www.enterpriseresearch.ac.uk/wp-content/uploads/2017/11/GEM-NI-2016-Final-repo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-ni.gov.uk/publications/school-leavers-201516-statistical-bulletin" TargetMode="External"/><Relationship Id="rId23" Type="http://schemas.openxmlformats.org/officeDocument/2006/relationships/hyperlink" Target="http://www.europarl.europa.eu" TargetMode="External"/><Relationship Id="rId10" Type="http://schemas.openxmlformats.org/officeDocument/2006/relationships/hyperlink" Target="https://www.health-ni.gov.uk/sites/default/files/publications/health/child-social-care-16-17.pdf" TargetMode="External"/><Relationship Id="rId19" Type="http://schemas.openxmlformats.org/officeDocument/2006/relationships/hyperlink" Target="https://www.hesa.ac.uk/data-and-analysis/students/what-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-ni.gov.uk/topics/dhssps-statistics-and-research/childrens-services-statistics" TargetMode="External"/><Relationship Id="rId14" Type="http://schemas.openxmlformats.org/officeDocument/2006/relationships/hyperlink" Target="https://assets.publishing.service.gov.uk/government/uploads/system/uploads/attachment_data/file/617128/Child_and_Working_Tax_Credits_statistics_finalised_annual_awards_-_2015_to_2016.pdf" TargetMode="External"/><Relationship Id="rId22" Type="http://schemas.openxmlformats.org/officeDocument/2006/relationships/hyperlink" Target="http://www.parliament.u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Statistics of most interest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407EC9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Economic Activity </c:v>
                </c:pt>
                <c:pt idx="1">
                  <c:v>Employment</c:v>
                </c:pt>
                <c:pt idx="2">
                  <c:v>Unemployment</c:v>
                </c:pt>
                <c:pt idx="3">
                  <c:v>Earnings</c:v>
                </c:pt>
                <c:pt idx="4">
                  <c:v>Education</c:v>
                </c:pt>
                <c:pt idx="5">
                  <c:v>Childcare</c:v>
                </c:pt>
                <c:pt idx="6">
                  <c:v>Benefits</c:v>
                </c:pt>
                <c:pt idx="7">
                  <c:v>Women in public life</c:v>
                </c:pt>
                <c:pt idx="8">
                  <c:v>Female entrepreneurs</c:v>
                </c:pt>
                <c:pt idx="9">
                  <c:v>Other</c:v>
                </c:pt>
                <c:pt idx="10">
                  <c:v>Not Answered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564312"/>
        <c:axId val="187372792"/>
      </c:barChart>
      <c:catAx>
        <c:axId val="115564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7372792"/>
        <c:crosses val="autoZero"/>
        <c:auto val="1"/>
        <c:lblAlgn val="ctr"/>
        <c:lblOffset val="100"/>
        <c:noMultiLvlLbl val="0"/>
      </c:catAx>
      <c:valAx>
        <c:axId val="187372792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5643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Goollam-Kader, Aaishah</dc:creator>
  <cp:keywords/>
  <dc:description/>
  <cp:lastModifiedBy>Sarah Fyffe</cp:lastModifiedBy>
  <cp:revision>2</cp:revision>
  <dcterms:created xsi:type="dcterms:W3CDTF">2018-06-25T13:13:00Z</dcterms:created>
  <dcterms:modified xsi:type="dcterms:W3CDTF">2018-06-25T13:13:00Z</dcterms:modified>
</cp:coreProperties>
</file>