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E49" w:rsidRPr="008F671D" w:rsidRDefault="006D6E49" w:rsidP="006D6E49">
      <w:pPr>
        <w:jc w:val="both"/>
        <w:rPr>
          <w:rFonts w:asciiTheme="minorHAnsi" w:hAnsiTheme="minorHAnsi" w:cs="Arial"/>
          <w:b/>
          <w:sz w:val="20"/>
        </w:rPr>
      </w:pPr>
    </w:p>
    <w:tbl>
      <w:tblPr>
        <w:tblStyle w:val="TableGrid"/>
        <w:tblW w:w="10598" w:type="dxa"/>
        <w:tblLook w:val="04A0" w:firstRow="1" w:lastRow="0" w:firstColumn="1" w:lastColumn="0" w:noHBand="0" w:noVBand="1"/>
      </w:tblPr>
      <w:tblGrid>
        <w:gridCol w:w="3397"/>
        <w:gridCol w:w="7201"/>
      </w:tblGrid>
      <w:tr w:rsidR="003E6FDF" w:rsidRPr="008F671D" w:rsidTr="00882FF5">
        <w:trPr>
          <w:trHeight w:val="397"/>
        </w:trPr>
        <w:tc>
          <w:tcPr>
            <w:tcW w:w="3397" w:type="dxa"/>
            <w:shd w:val="clear" w:color="auto" w:fill="D9D9D9" w:themeFill="background1" w:themeFillShade="D9"/>
            <w:vAlign w:val="center"/>
          </w:tcPr>
          <w:p w:rsidR="003E6FDF" w:rsidRPr="00952736" w:rsidRDefault="00837F05" w:rsidP="00FB47D0">
            <w:pPr>
              <w:rPr>
                <w:rFonts w:asciiTheme="minorHAnsi" w:hAnsiTheme="minorHAnsi"/>
                <w:b/>
                <w:sz w:val="20"/>
                <w:szCs w:val="20"/>
              </w:rPr>
            </w:pPr>
            <w:bookmarkStart w:id="0" w:name="OLE_LINK1"/>
            <w:r w:rsidRPr="00952736">
              <w:rPr>
                <w:rFonts w:asciiTheme="minorHAnsi" w:hAnsiTheme="minorHAnsi"/>
                <w:b/>
                <w:sz w:val="20"/>
                <w:szCs w:val="20"/>
              </w:rPr>
              <w:t>Indicator</w:t>
            </w:r>
            <w:r w:rsidR="00812B5F">
              <w:rPr>
                <w:rFonts w:asciiTheme="minorHAnsi" w:hAnsiTheme="minorHAnsi"/>
                <w:b/>
                <w:color w:val="FF0000"/>
                <w:sz w:val="20"/>
                <w:szCs w:val="20"/>
              </w:rPr>
              <w:t xml:space="preserve"> </w:t>
            </w:r>
            <w:r w:rsidR="00812B5F" w:rsidRPr="00812B5F">
              <w:rPr>
                <w:rFonts w:asciiTheme="minorHAnsi" w:hAnsiTheme="minorHAnsi"/>
                <w:b/>
                <w:sz w:val="20"/>
                <w:szCs w:val="20"/>
              </w:rPr>
              <w:t>1</w:t>
            </w:r>
            <w:r w:rsidR="00FA749E" w:rsidRPr="00FA749E">
              <w:rPr>
                <w:rFonts w:asciiTheme="minorHAnsi" w:hAnsiTheme="minorHAnsi"/>
                <w:b/>
                <w:color w:val="FF0000"/>
                <w:sz w:val="20"/>
                <w:szCs w:val="20"/>
              </w:rPr>
              <w:t xml:space="preserve"> </w:t>
            </w:r>
            <w:r w:rsidR="003E6FDF" w:rsidRPr="00952736">
              <w:rPr>
                <w:rFonts w:asciiTheme="minorHAnsi" w:hAnsiTheme="minorHAnsi"/>
                <w:b/>
                <w:sz w:val="20"/>
                <w:szCs w:val="20"/>
              </w:rPr>
              <w:t>:</w:t>
            </w:r>
            <w:r w:rsidR="00FA749E">
              <w:rPr>
                <w:rFonts w:asciiTheme="minorHAnsi" w:hAnsiTheme="minorHAnsi"/>
                <w:b/>
                <w:sz w:val="20"/>
                <w:szCs w:val="20"/>
              </w:rPr>
              <w:t xml:space="preserve"> </w:t>
            </w:r>
          </w:p>
        </w:tc>
        <w:tc>
          <w:tcPr>
            <w:tcW w:w="7201" w:type="dxa"/>
            <w:vAlign w:val="center"/>
          </w:tcPr>
          <w:p w:rsidR="00FB47D0" w:rsidRPr="00882FF5" w:rsidRDefault="00812B5F" w:rsidP="00812B5F">
            <w:pPr>
              <w:rPr>
                <w:rFonts w:asciiTheme="minorHAnsi" w:hAnsiTheme="minorHAnsi"/>
                <w:b/>
                <w:sz w:val="20"/>
                <w:szCs w:val="20"/>
              </w:rPr>
            </w:pPr>
            <w:r w:rsidRPr="00551C1E">
              <w:rPr>
                <w:rFonts w:asciiTheme="minorHAnsi" w:hAnsiTheme="minorHAnsi"/>
                <w:b/>
                <w:sz w:val="20"/>
                <w:szCs w:val="20"/>
              </w:rPr>
              <w:t>Prevalence rate (% of the population who were victims of any NI Crime Survey crime)</w:t>
            </w:r>
          </w:p>
        </w:tc>
      </w:tr>
    </w:tbl>
    <w:p w:rsidR="00FB47D0" w:rsidRPr="008F671D" w:rsidRDefault="00FB47D0">
      <w:pPr>
        <w:rPr>
          <w:rFonts w:asciiTheme="minorHAnsi" w:hAnsiTheme="minorHAnsi"/>
        </w:rPr>
      </w:pPr>
      <w:bookmarkStart w:id="1" w:name="_GoBack"/>
    </w:p>
    <w:tbl>
      <w:tblPr>
        <w:tblStyle w:val="TableGrid"/>
        <w:tblW w:w="10598" w:type="dxa"/>
        <w:tblLook w:val="04A0" w:firstRow="1" w:lastRow="0" w:firstColumn="1" w:lastColumn="0" w:noHBand="0" w:noVBand="1"/>
      </w:tblPr>
      <w:tblGrid>
        <w:gridCol w:w="3369"/>
        <w:gridCol w:w="5811"/>
        <w:gridCol w:w="1418"/>
      </w:tblGrid>
      <w:tr w:rsidR="00A85CFB" w:rsidRPr="008F671D" w:rsidTr="00A85CFB">
        <w:trPr>
          <w:trHeight w:val="340"/>
        </w:trPr>
        <w:tc>
          <w:tcPr>
            <w:tcW w:w="3369" w:type="dxa"/>
            <w:shd w:val="clear" w:color="auto" w:fill="D9D9D9" w:themeFill="background1" w:themeFillShade="D9"/>
            <w:vAlign w:val="center"/>
          </w:tcPr>
          <w:bookmarkEnd w:id="1"/>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 xml:space="preserve">Responsible Statistician: </w:t>
            </w:r>
          </w:p>
        </w:tc>
        <w:tc>
          <w:tcPr>
            <w:tcW w:w="7229" w:type="dxa"/>
            <w:gridSpan w:val="2"/>
            <w:vAlign w:val="center"/>
          </w:tcPr>
          <w:p w:rsidR="00A85CFB" w:rsidRPr="008F671D" w:rsidRDefault="00812B5F" w:rsidP="000B1BD2">
            <w:pPr>
              <w:rPr>
                <w:rFonts w:asciiTheme="minorHAnsi" w:hAnsiTheme="minorHAnsi"/>
                <w:sz w:val="20"/>
              </w:rPr>
            </w:pPr>
            <w:r>
              <w:rPr>
                <w:rFonts w:asciiTheme="minorHAnsi" w:hAnsiTheme="minorHAnsi"/>
                <w:sz w:val="20"/>
                <w:szCs w:val="20"/>
              </w:rPr>
              <w:t xml:space="preserve">Joan Ritchie, </w:t>
            </w:r>
            <w:r w:rsidRPr="00345E2E">
              <w:rPr>
                <w:rFonts w:asciiTheme="minorHAnsi" w:hAnsiTheme="minorHAnsi"/>
                <w:sz w:val="20"/>
                <w:szCs w:val="20"/>
              </w:rPr>
              <w:t>Department of Justice</w:t>
            </w:r>
          </w:p>
        </w:tc>
      </w:tr>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Web Link to Statistical Publication:</w:t>
            </w:r>
          </w:p>
        </w:tc>
        <w:tc>
          <w:tcPr>
            <w:tcW w:w="7229" w:type="dxa"/>
            <w:gridSpan w:val="2"/>
            <w:vAlign w:val="center"/>
          </w:tcPr>
          <w:p w:rsidR="00A85CFB" w:rsidRDefault="00812B5F" w:rsidP="00812B5F">
            <w:pPr>
              <w:rPr>
                <w:rFonts w:asciiTheme="minorHAnsi" w:hAnsiTheme="minorHAnsi"/>
                <w:sz w:val="20"/>
                <w:szCs w:val="20"/>
              </w:rPr>
            </w:pPr>
            <w:r>
              <w:rPr>
                <w:rFonts w:asciiTheme="minorHAnsi" w:hAnsiTheme="minorHAnsi"/>
                <w:sz w:val="20"/>
                <w:szCs w:val="20"/>
              </w:rPr>
              <w:t xml:space="preserve">Tables 1 and </w:t>
            </w:r>
            <w:r w:rsidRPr="00345E2E">
              <w:rPr>
                <w:rFonts w:asciiTheme="minorHAnsi" w:hAnsiTheme="minorHAnsi"/>
                <w:sz w:val="20"/>
                <w:szCs w:val="20"/>
              </w:rPr>
              <w:t>2:</w:t>
            </w:r>
          </w:p>
          <w:p w:rsidR="00812B5F" w:rsidRPr="008F671D" w:rsidRDefault="00812B5F" w:rsidP="006F71FC">
            <w:pPr>
              <w:rPr>
                <w:rFonts w:asciiTheme="minorHAnsi" w:hAnsiTheme="minorHAnsi"/>
                <w:sz w:val="20"/>
              </w:rPr>
            </w:pPr>
            <w:r>
              <w:rPr>
                <w:rFonts w:asciiTheme="minorHAnsi" w:hAnsiTheme="minorHAnsi"/>
                <w:sz w:val="20"/>
                <w:szCs w:val="20"/>
              </w:rPr>
              <w:t>(</w:t>
            </w:r>
            <w:hyperlink r:id="rId8" w:history="1">
              <w:r w:rsidR="006F71FC" w:rsidRPr="00C071B6">
                <w:rPr>
                  <w:rStyle w:val="Hyperlink"/>
                  <w:rFonts w:asciiTheme="minorHAnsi" w:hAnsiTheme="minorHAnsi"/>
                  <w:sz w:val="20"/>
                  <w:szCs w:val="20"/>
                </w:rPr>
                <w:t>https://www.justice-ni.gov.uk/publications/experience-crime-findings-201819-northern-ireland-safe-community-survey</w:t>
              </w:r>
            </w:hyperlink>
            <w:r>
              <w:rPr>
                <w:rFonts w:asciiTheme="minorHAnsi" w:hAnsiTheme="minorHAnsi"/>
                <w:sz w:val="20"/>
                <w:szCs w:val="20"/>
              </w:rPr>
              <w:t>)</w:t>
            </w:r>
          </w:p>
        </w:tc>
      </w:tr>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Pr>
                <w:rFonts w:asciiTheme="minorHAnsi" w:hAnsiTheme="minorHAnsi"/>
                <w:b/>
                <w:sz w:val="20"/>
                <w:szCs w:val="20"/>
              </w:rPr>
              <w:t>Frequency of update</w:t>
            </w:r>
            <w:r w:rsidRPr="00345E2E">
              <w:rPr>
                <w:rFonts w:asciiTheme="minorHAnsi" w:hAnsiTheme="minorHAnsi"/>
                <w:b/>
                <w:sz w:val="20"/>
                <w:szCs w:val="20"/>
              </w:rPr>
              <w:t>:</w:t>
            </w:r>
          </w:p>
        </w:tc>
        <w:tc>
          <w:tcPr>
            <w:tcW w:w="7229" w:type="dxa"/>
            <w:gridSpan w:val="2"/>
            <w:vAlign w:val="center"/>
          </w:tcPr>
          <w:p w:rsidR="00812B5F" w:rsidRPr="008F671D" w:rsidRDefault="00812B5F" w:rsidP="00823C0A">
            <w:pPr>
              <w:rPr>
                <w:rFonts w:asciiTheme="minorHAnsi" w:hAnsiTheme="minorHAnsi"/>
                <w:sz w:val="20"/>
              </w:rPr>
            </w:pPr>
            <w:r>
              <w:rPr>
                <w:rFonts w:asciiTheme="minorHAnsi" w:hAnsiTheme="minorHAnsi"/>
                <w:sz w:val="20"/>
              </w:rPr>
              <w:t>Annual</w:t>
            </w:r>
          </w:p>
        </w:tc>
      </w:tr>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Pr>
                <w:rFonts w:asciiTheme="minorHAnsi" w:hAnsiTheme="minorHAnsi"/>
                <w:b/>
                <w:sz w:val="20"/>
                <w:szCs w:val="20"/>
              </w:rPr>
              <w:t>T</w:t>
            </w:r>
            <w:r w:rsidRPr="00345E2E">
              <w:rPr>
                <w:rFonts w:asciiTheme="minorHAnsi" w:hAnsiTheme="minorHAnsi"/>
                <w:b/>
                <w:sz w:val="20"/>
                <w:szCs w:val="20"/>
              </w:rPr>
              <w:t>ime lag:</w:t>
            </w:r>
          </w:p>
        </w:tc>
        <w:tc>
          <w:tcPr>
            <w:tcW w:w="7229" w:type="dxa"/>
            <w:gridSpan w:val="2"/>
            <w:vAlign w:val="center"/>
          </w:tcPr>
          <w:p w:rsidR="00A85CFB" w:rsidRPr="008F671D" w:rsidRDefault="00812B5F" w:rsidP="00823C0A">
            <w:pPr>
              <w:rPr>
                <w:rFonts w:asciiTheme="minorHAnsi" w:hAnsiTheme="minorHAnsi"/>
                <w:sz w:val="20"/>
              </w:rPr>
            </w:pPr>
            <w:r>
              <w:rPr>
                <w:rFonts w:asciiTheme="minorHAnsi" w:hAnsiTheme="minorHAnsi"/>
                <w:sz w:val="20"/>
                <w:szCs w:val="20"/>
              </w:rPr>
              <w:t>9</w:t>
            </w:r>
            <w:r w:rsidRPr="00345E2E">
              <w:rPr>
                <w:rFonts w:asciiTheme="minorHAnsi" w:hAnsiTheme="minorHAnsi"/>
                <w:sz w:val="20"/>
                <w:szCs w:val="20"/>
              </w:rPr>
              <w:t>-1</w:t>
            </w:r>
            <w:r>
              <w:rPr>
                <w:rFonts w:asciiTheme="minorHAnsi" w:hAnsiTheme="minorHAnsi"/>
                <w:sz w:val="20"/>
                <w:szCs w:val="20"/>
              </w:rPr>
              <w:t>0</w:t>
            </w:r>
            <w:r w:rsidRPr="00345E2E">
              <w:rPr>
                <w:rFonts w:asciiTheme="minorHAnsi" w:hAnsiTheme="minorHAnsi"/>
                <w:sz w:val="20"/>
                <w:szCs w:val="20"/>
              </w:rPr>
              <w:t xml:space="preserve"> months</w:t>
            </w:r>
          </w:p>
        </w:tc>
      </w:tr>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Data Source:</w:t>
            </w:r>
          </w:p>
        </w:tc>
        <w:tc>
          <w:tcPr>
            <w:tcW w:w="7229" w:type="dxa"/>
            <w:gridSpan w:val="2"/>
            <w:vAlign w:val="center"/>
          </w:tcPr>
          <w:p w:rsidR="00A85CFB" w:rsidRPr="008F671D" w:rsidRDefault="00812B5F" w:rsidP="00AE2092">
            <w:pPr>
              <w:rPr>
                <w:rFonts w:asciiTheme="minorHAnsi" w:hAnsiTheme="minorHAnsi"/>
                <w:sz w:val="20"/>
              </w:rPr>
            </w:pPr>
            <w:r>
              <w:rPr>
                <w:rFonts w:asciiTheme="minorHAnsi" w:hAnsiTheme="minorHAnsi"/>
                <w:sz w:val="20"/>
              </w:rPr>
              <w:t>Northern Ireland Safe Community Survey (formerly known as the Northern Ireland Crime Survey)</w:t>
            </w:r>
          </w:p>
        </w:tc>
      </w:tr>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National Statistics</w:t>
            </w:r>
            <w:r>
              <w:rPr>
                <w:rFonts w:asciiTheme="minorHAnsi" w:hAnsiTheme="minorHAnsi"/>
                <w:b/>
                <w:sz w:val="20"/>
                <w:szCs w:val="20"/>
              </w:rPr>
              <w:t xml:space="preserve"> Status</w:t>
            </w:r>
          </w:p>
        </w:tc>
        <w:tc>
          <w:tcPr>
            <w:tcW w:w="7229" w:type="dxa"/>
            <w:gridSpan w:val="2"/>
            <w:vAlign w:val="center"/>
          </w:tcPr>
          <w:p w:rsidR="00A85CFB" w:rsidRPr="008F671D" w:rsidRDefault="00812B5F" w:rsidP="00823C0A">
            <w:pPr>
              <w:rPr>
                <w:rFonts w:asciiTheme="minorHAnsi" w:hAnsiTheme="minorHAnsi"/>
                <w:sz w:val="20"/>
              </w:rPr>
            </w:pPr>
            <w:r>
              <w:rPr>
                <w:rFonts w:asciiTheme="minorHAnsi" w:hAnsiTheme="minorHAnsi"/>
                <w:sz w:val="20"/>
                <w:szCs w:val="20"/>
              </w:rPr>
              <w:t>National Statistics</w:t>
            </w:r>
            <w:r w:rsidRPr="00345E2E">
              <w:rPr>
                <w:rFonts w:asciiTheme="minorHAnsi" w:hAnsiTheme="minorHAnsi"/>
                <w:sz w:val="20"/>
                <w:szCs w:val="20"/>
              </w:rPr>
              <w:t xml:space="preserve">, currently undergoing </w:t>
            </w:r>
            <w:r>
              <w:rPr>
                <w:rFonts w:asciiTheme="minorHAnsi" w:hAnsiTheme="minorHAnsi"/>
                <w:sz w:val="20"/>
                <w:szCs w:val="20"/>
              </w:rPr>
              <w:t>compliance check</w:t>
            </w:r>
          </w:p>
        </w:tc>
      </w:tr>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Quality Report:</w:t>
            </w:r>
          </w:p>
        </w:tc>
        <w:tc>
          <w:tcPr>
            <w:tcW w:w="7229" w:type="dxa"/>
            <w:gridSpan w:val="2"/>
            <w:vAlign w:val="center"/>
          </w:tcPr>
          <w:p w:rsidR="00A85CFB" w:rsidRPr="008F671D" w:rsidRDefault="00812B5F" w:rsidP="00AE2092">
            <w:pPr>
              <w:rPr>
                <w:rFonts w:asciiTheme="minorHAnsi" w:hAnsiTheme="minorHAnsi"/>
                <w:sz w:val="20"/>
              </w:rPr>
            </w:pPr>
            <w:r w:rsidRPr="00345E2E">
              <w:rPr>
                <w:rFonts w:asciiTheme="minorHAnsi" w:hAnsiTheme="minorHAnsi"/>
                <w:sz w:val="20"/>
                <w:szCs w:val="20"/>
              </w:rPr>
              <w:t>Northern Ireland Crime Survey Quality Report:</w:t>
            </w:r>
            <w:r>
              <w:rPr>
                <w:rFonts w:asciiTheme="minorHAnsi" w:hAnsiTheme="minorHAnsi"/>
                <w:sz w:val="20"/>
                <w:szCs w:val="20"/>
              </w:rPr>
              <w:t xml:space="preserve"> </w:t>
            </w:r>
            <w:hyperlink r:id="rId9" w:history="1">
              <w:r w:rsidRPr="00345E2E">
                <w:rPr>
                  <w:rStyle w:val="Hyperlink"/>
                  <w:rFonts w:asciiTheme="minorHAnsi" w:hAnsiTheme="minorHAnsi"/>
                  <w:sz w:val="20"/>
                  <w:szCs w:val="20"/>
                </w:rPr>
                <w:t>https://www.justice-ni.gov.uk/publications/northern-ireland-crime-survey-quality-report</w:t>
              </w:r>
            </w:hyperlink>
          </w:p>
        </w:tc>
      </w:tr>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Historic Data available from:</w:t>
            </w:r>
          </w:p>
        </w:tc>
        <w:tc>
          <w:tcPr>
            <w:tcW w:w="7229" w:type="dxa"/>
            <w:gridSpan w:val="2"/>
            <w:vAlign w:val="center"/>
          </w:tcPr>
          <w:p w:rsidR="00A85CFB" w:rsidRPr="008F671D" w:rsidRDefault="00A85CFB" w:rsidP="00AE2092">
            <w:pPr>
              <w:rPr>
                <w:rFonts w:asciiTheme="minorHAnsi" w:hAnsiTheme="minorHAnsi"/>
                <w:sz w:val="20"/>
              </w:rPr>
            </w:pPr>
            <w:r>
              <w:rPr>
                <w:rFonts w:asciiTheme="minorHAnsi" w:hAnsiTheme="minorHAnsi"/>
                <w:sz w:val="20"/>
              </w:rPr>
              <w:t xml:space="preserve"> </w:t>
            </w:r>
            <w:r w:rsidR="00812B5F" w:rsidRPr="00345E2E">
              <w:rPr>
                <w:rFonts w:asciiTheme="minorHAnsi" w:hAnsiTheme="minorHAnsi"/>
                <w:sz w:val="20"/>
                <w:szCs w:val="20"/>
              </w:rPr>
              <w:t>1998</w:t>
            </w:r>
          </w:p>
        </w:tc>
      </w:tr>
      <w:tr w:rsidR="00A85CFB" w:rsidRPr="008F671D" w:rsidTr="00823C0A">
        <w:trPr>
          <w:trHeight w:val="4366"/>
        </w:trPr>
        <w:tc>
          <w:tcPr>
            <w:tcW w:w="3369" w:type="dxa"/>
            <w:shd w:val="clear" w:color="auto" w:fill="D9D9D9" w:themeFill="background1" w:themeFillShade="D9"/>
            <w:vAlign w:val="center"/>
          </w:tcPr>
          <w:p w:rsidR="00A85CFB" w:rsidRPr="004D6771" w:rsidRDefault="00A85CFB" w:rsidP="00C06DF4">
            <w:pPr>
              <w:rPr>
                <w:rFonts w:asciiTheme="minorHAnsi" w:hAnsiTheme="minorHAnsi"/>
                <w:b/>
                <w:sz w:val="20"/>
                <w:szCs w:val="20"/>
              </w:rPr>
            </w:pPr>
            <w:r w:rsidRPr="004D6771">
              <w:rPr>
                <w:rFonts w:asciiTheme="minorHAnsi" w:hAnsiTheme="minorHAnsi"/>
                <w:b/>
                <w:sz w:val="20"/>
                <w:szCs w:val="20"/>
              </w:rPr>
              <w:t xml:space="preserve">Time-series trend: </w:t>
            </w:r>
          </w:p>
          <w:p w:rsidR="00A85CFB" w:rsidRPr="00B8684A" w:rsidRDefault="00A85CFB" w:rsidP="00C06DF4">
            <w:pPr>
              <w:rPr>
                <w:rFonts w:asciiTheme="minorHAnsi" w:hAnsiTheme="minorHAnsi"/>
                <w:b/>
                <w:sz w:val="20"/>
                <w:szCs w:val="20"/>
                <w:highlight w:val="yellow"/>
              </w:rPr>
            </w:pPr>
          </w:p>
          <w:p w:rsidR="00A85CFB" w:rsidRPr="00B8684A" w:rsidRDefault="00A85CFB" w:rsidP="00C06DF4">
            <w:pPr>
              <w:rPr>
                <w:rFonts w:asciiTheme="minorHAnsi" w:hAnsiTheme="minorHAnsi"/>
                <w:sz w:val="20"/>
                <w:szCs w:val="20"/>
                <w:highlight w:val="yellow"/>
              </w:rPr>
            </w:pPr>
          </w:p>
        </w:tc>
        <w:tc>
          <w:tcPr>
            <w:tcW w:w="7229" w:type="dxa"/>
            <w:gridSpan w:val="2"/>
            <w:vAlign w:val="center"/>
          </w:tcPr>
          <w:p w:rsidR="00812B5F" w:rsidRPr="00345E2E" w:rsidRDefault="00812B5F" w:rsidP="00812B5F">
            <w:pPr>
              <w:rPr>
                <w:rFonts w:asciiTheme="minorHAnsi" w:hAnsiTheme="minorHAnsi"/>
                <w:sz w:val="20"/>
                <w:szCs w:val="20"/>
              </w:rPr>
            </w:pPr>
            <w:r w:rsidRPr="00AC1A9C">
              <w:rPr>
                <w:rFonts w:asciiTheme="minorHAnsi" w:hAnsiTheme="minorHAnsi"/>
                <w:sz w:val="20"/>
                <w:szCs w:val="20"/>
              </w:rPr>
              <w:t>Results from the 201</w:t>
            </w:r>
            <w:r>
              <w:rPr>
                <w:rFonts w:asciiTheme="minorHAnsi" w:hAnsiTheme="minorHAnsi"/>
                <w:sz w:val="20"/>
                <w:szCs w:val="20"/>
              </w:rPr>
              <w:t>8/19</w:t>
            </w:r>
            <w:r w:rsidRPr="00AC1A9C">
              <w:rPr>
                <w:rFonts w:asciiTheme="minorHAnsi" w:hAnsiTheme="minorHAnsi"/>
                <w:sz w:val="20"/>
                <w:szCs w:val="20"/>
              </w:rPr>
              <w:t xml:space="preserve"> Northern Ireland </w:t>
            </w:r>
            <w:r>
              <w:rPr>
                <w:rFonts w:asciiTheme="minorHAnsi" w:hAnsiTheme="minorHAnsi"/>
                <w:sz w:val="20"/>
                <w:szCs w:val="20"/>
              </w:rPr>
              <w:t>Safe Community</w:t>
            </w:r>
            <w:r w:rsidRPr="00AC1A9C">
              <w:rPr>
                <w:rFonts w:asciiTheme="minorHAnsi" w:hAnsiTheme="minorHAnsi"/>
                <w:sz w:val="20"/>
                <w:szCs w:val="20"/>
              </w:rPr>
              <w:t xml:space="preserve"> Survey (NI</w:t>
            </w:r>
            <w:r>
              <w:rPr>
                <w:rFonts w:asciiTheme="minorHAnsi" w:hAnsiTheme="minorHAnsi"/>
                <w:sz w:val="20"/>
                <w:szCs w:val="20"/>
              </w:rPr>
              <w:t>S</w:t>
            </w:r>
            <w:r w:rsidRPr="00AC1A9C">
              <w:rPr>
                <w:rFonts w:asciiTheme="minorHAnsi" w:hAnsiTheme="minorHAnsi"/>
                <w:sz w:val="20"/>
                <w:szCs w:val="20"/>
              </w:rPr>
              <w:t xml:space="preserve">CS) estimate that </w:t>
            </w:r>
            <w:r>
              <w:rPr>
                <w:rFonts w:asciiTheme="minorHAnsi" w:hAnsiTheme="minorHAnsi"/>
                <w:sz w:val="20"/>
                <w:szCs w:val="20"/>
              </w:rPr>
              <w:t>7.5</w:t>
            </w:r>
            <w:r w:rsidRPr="00AC1A9C">
              <w:rPr>
                <w:rFonts w:asciiTheme="minorHAnsi" w:hAnsiTheme="minorHAnsi"/>
                <w:sz w:val="20"/>
                <w:szCs w:val="20"/>
              </w:rPr>
              <w:t>% of all households and their adult occupants were victims of at least one NI</w:t>
            </w:r>
            <w:r>
              <w:rPr>
                <w:rFonts w:asciiTheme="minorHAnsi" w:hAnsiTheme="minorHAnsi"/>
                <w:sz w:val="20"/>
                <w:szCs w:val="20"/>
              </w:rPr>
              <w:t>S</w:t>
            </w:r>
            <w:r w:rsidRPr="00AC1A9C">
              <w:rPr>
                <w:rFonts w:asciiTheme="minorHAnsi" w:hAnsiTheme="minorHAnsi"/>
                <w:sz w:val="20"/>
                <w:szCs w:val="20"/>
              </w:rPr>
              <w:t>CS crime during the 12 months prior to interview, unchanged (p&lt;0.05) from 201</w:t>
            </w:r>
            <w:r>
              <w:rPr>
                <w:rFonts w:asciiTheme="minorHAnsi" w:hAnsiTheme="minorHAnsi"/>
                <w:sz w:val="20"/>
                <w:szCs w:val="20"/>
              </w:rPr>
              <w:t>7</w:t>
            </w:r>
            <w:r w:rsidRPr="00AC1A9C">
              <w:rPr>
                <w:rFonts w:asciiTheme="minorHAnsi" w:hAnsiTheme="minorHAnsi"/>
                <w:sz w:val="20"/>
                <w:szCs w:val="20"/>
              </w:rPr>
              <w:t>/1</w:t>
            </w:r>
            <w:r>
              <w:rPr>
                <w:rFonts w:asciiTheme="minorHAnsi" w:hAnsiTheme="minorHAnsi"/>
                <w:sz w:val="20"/>
                <w:szCs w:val="20"/>
              </w:rPr>
              <w:t>8 (7.9</w:t>
            </w:r>
            <w:r w:rsidRPr="00AC1A9C">
              <w:rPr>
                <w:rFonts w:asciiTheme="minorHAnsi" w:hAnsiTheme="minorHAnsi"/>
                <w:sz w:val="20"/>
                <w:szCs w:val="20"/>
              </w:rPr>
              <w:t xml:space="preserve">%).  </w:t>
            </w:r>
            <w:r>
              <w:rPr>
                <w:rFonts w:asciiTheme="minorHAnsi" w:hAnsiTheme="minorHAnsi"/>
                <w:sz w:val="20"/>
                <w:szCs w:val="20"/>
              </w:rPr>
              <w:t>At</w:t>
            </w:r>
            <w:r w:rsidRPr="00AC1A9C">
              <w:rPr>
                <w:rFonts w:asciiTheme="minorHAnsi" w:hAnsiTheme="minorHAnsi"/>
                <w:sz w:val="20"/>
                <w:szCs w:val="20"/>
              </w:rPr>
              <w:t xml:space="preserve"> </w:t>
            </w:r>
            <w:r>
              <w:rPr>
                <w:rFonts w:asciiTheme="minorHAnsi" w:hAnsiTheme="minorHAnsi"/>
                <w:sz w:val="20"/>
                <w:szCs w:val="20"/>
              </w:rPr>
              <w:t>7.5</w:t>
            </w:r>
            <w:r w:rsidRPr="00AC1A9C">
              <w:rPr>
                <w:rFonts w:asciiTheme="minorHAnsi" w:hAnsiTheme="minorHAnsi"/>
                <w:sz w:val="20"/>
                <w:szCs w:val="20"/>
              </w:rPr>
              <w:t xml:space="preserve">% </w:t>
            </w:r>
            <w:r>
              <w:rPr>
                <w:rFonts w:asciiTheme="minorHAnsi" w:hAnsiTheme="minorHAnsi"/>
                <w:sz w:val="20"/>
                <w:szCs w:val="20"/>
              </w:rPr>
              <w:t>in 2018/19, the rate has reduced by two-thirds since 1998 (23.0%) when the measure</w:t>
            </w:r>
            <w:r w:rsidRPr="00AC1A9C">
              <w:rPr>
                <w:rFonts w:asciiTheme="minorHAnsi" w:hAnsiTheme="minorHAnsi"/>
                <w:sz w:val="20"/>
                <w:szCs w:val="20"/>
              </w:rPr>
              <w:t xml:space="preserve"> w</w:t>
            </w:r>
            <w:r>
              <w:rPr>
                <w:rFonts w:asciiTheme="minorHAnsi" w:hAnsiTheme="minorHAnsi"/>
                <w:sz w:val="20"/>
                <w:szCs w:val="20"/>
              </w:rPr>
              <w:t>as first reported.</w:t>
            </w:r>
          </w:p>
          <w:p w:rsidR="00812B5F" w:rsidRDefault="00812B5F" w:rsidP="00812B5F">
            <w:pPr>
              <w:rPr>
                <w:rFonts w:asciiTheme="minorHAnsi" w:hAnsiTheme="minorHAnsi"/>
                <w:sz w:val="20"/>
                <w:szCs w:val="20"/>
              </w:rPr>
            </w:pPr>
          </w:p>
          <w:p w:rsidR="00812B5F" w:rsidRDefault="00812B5F" w:rsidP="00812B5F">
            <w:pPr>
              <w:rPr>
                <w:rFonts w:asciiTheme="minorHAnsi" w:hAnsiTheme="minorHAnsi"/>
                <w:b/>
                <w:sz w:val="20"/>
                <w:szCs w:val="20"/>
                <w:vertAlign w:val="superscript"/>
              </w:rPr>
            </w:pPr>
            <w:r w:rsidRPr="00E0174B">
              <w:rPr>
                <w:rFonts w:asciiTheme="minorHAnsi" w:hAnsiTheme="minorHAnsi"/>
                <w:b/>
                <w:sz w:val="20"/>
                <w:szCs w:val="20"/>
              </w:rPr>
              <w:t>Households / adults victims of crime once or more by crime type (%)</w:t>
            </w:r>
            <w:r w:rsidRPr="00E0174B">
              <w:rPr>
                <w:rFonts w:asciiTheme="minorHAnsi" w:hAnsiTheme="minorHAnsi"/>
                <w:b/>
                <w:sz w:val="20"/>
                <w:szCs w:val="20"/>
                <w:vertAlign w:val="superscript"/>
              </w:rPr>
              <w:t>1</w:t>
            </w:r>
            <w:r w:rsidRPr="00E0174B">
              <w:rPr>
                <w:rFonts w:asciiTheme="minorHAnsi" w:hAnsiTheme="minorHAnsi"/>
                <w:b/>
                <w:sz w:val="20"/>
                <w:szCs w:val="20"/>
              </w:rPr>
              <w:t xml:space="preserve">, </w:t>
            </w:r>
            <w:r w:rsidRPr="00E0174B">
              <w:rPr>
                <w:rFonts w:asciiTheme="minorHAnsi" w:hAnsiTheme="minorHAnsi"/>
                <w:b/>
                <w:sz w:val="20"/>
                <w:szCs w:val="20"/>
                <w:vertAlign w:val="superscript"/>
              </w:rPr>
              <w:t>2</w:t>
            </w:r>
          </w:p>
          <w:p w:rsidR="00812B5F" w:rsidRPr="00E0174B" w:rsidRDefault="00812B5F" w:rsidP="00812B5F">
            <w:pPr>
              <w:rPr>
                <w:rFonts w:asciiTheme="minorHAnsi" w:hAnsiTheme="minorHAnsi"/>
                <w:b/>
                <w:sz w:val="20"/>
                <w:szCs w:val="20"/>
              </w:rPr>
            </w:pPr>
            <w:r w:rsidRPr="00E0174B">
              <w:rPr>
                <w:rFonts w:asciiTheme="minorHAnsi" w:hAnsiTheme="minorHAnsi"/>
                <w:b/>
                <w:sz w:val="20"/>
                <w:szCs w:val="20"/>
              </w:rPr>
              <w:t>Northern Ireland (1998 - 201</w:t>
            </w:r>
            <w:r>
              <w:rPr>
                <w:rFonts w:asciiTheme="minorHAnsi" w:hAnsiTheme="minorHAnsi"/>
                <w:b/>
                <w:sz w:val="20"/>
                <w:szCs w:val="20"/>
              </w:rPr>
              <w:t>8</w:t>
            </w:r>
            <w:r w:rsidRPr="00E0174B">
              <w:rPr>
                <w:rFonts w:asciiTheme="minorHAnsi" w:hAnsiTheme="minorHAnsi"/>
                <w:b/>
                <w:sz w:val="20"/>
                <w:szCs w:val="20"/>
              </w:rPr>
              <w:t>/1</w:t>
            </w:r>
            <w:r>
              <w:rPr>
                <w:rFonts w:asciiTheme="minorHAnsi" w:hAnsiTheme="minorHAnsi"/>
                <w:b/>
                <w:sz w:val="20"/>
                <w:szCs w:val="20"/>
              </w:rPr>
              <w:t>9</w:t>
            </w:r>
            <w:r w:rsidRPr="00E0174B">
              <w:rPr>
                <w:rFonts w:asciiTheme="minorHAnsi" w:hAnsiTheme="minorHAnsi"/>
                <w:b/>
                <w:sz w:val="20"/>
                <w:szCs w:val="20"/>
              </w:rPr>
              <w:t xml:space="preserve"> interviews)</w:t>
            </w:r>
          </w:p>
          <w:tbl>
            <w:tblPr>
              <w:tblpPr w:leftFromText="180" w:rightFromText="180" w:vertAnchor="text" w:tblpY="1"/>
              <w:tblOverlap w:val="never"/>
              <w:tblW w:w="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700"/>
            </w:tblGrid>
            <w:tr w:rsidR="00812B5F" w:rsidRPr="00E0174B" w:rsidTr="00483479">
              <w:trPr>
                <w:trHeight w:val="300"/>
              </w:trPr>
              <w:tc>
                <w:tcPr>
                  <w:tcW w:w="911" w:type="dxa"/>
                  <w:shd w:val="clear" w:color="auto" w:fill="auto"/>
                  <w:noWrap/>
                  <w:vAlign w:val="bottom"/>
                  <w:hideMark/>
                </w:tcPr>
                <w:p w:rsidR="00812B5F" w:rsidRPr="00E0174B" w:rsidRDefault="00812B5F" w:rsidP="00812B5F">
                  <w:pPr>
                    <w:rPr>
                      <w:rFonts w:ascii="Calibri" w:hAnsi="Calibri"/>
                      <w:sz w:val="20"/>
                      <w:szCs w:val="20"/>
                      <w:lang w:eastAsia="en-GB"/>
                    </w:rPr>
                  </w:pPr>
                  <w:r w:rsidRPr="00E0174B">
                    <w:rPr>
                      <w:rFonts w:ascii="Calibri" w:hAnsi="Calibri"/>
                      <w:sz w:val="20"/>
                      <w:szCs w:val="20"/>
                      <w:lang w:eastAsia="en-GB"/>
                    </w:rPr>
                    <w:t> </w:t>
                  </w:r>
                </w:p>
              </w:tc>
              <w:tc>
                <w:tcPr>
                  <w:tcW w:w="1700" w:type="dxa"/>
                  <w:shd w:val="clear" w:color="auto" w:fill="auto"/>
                  <w:noWrap/>
                  <w:vAlign w:val="bottom"/>
                  <w:hideMark/>
                </w:tcPr>
                <w:p w:rsidR="00812B5F" w:rsidRPr="00E0174B" w:rsidRDefault="00812B5F" w:rsidP="00812B5F">
                  <w:pPr>
                    <w:rPr>
                      <w:rFonts w:ascii="Calibri" w:hAnsi="Calibri"/>
                      <w:b/>
                      <w:bCs/>
                      <w:sz w:val="20"/>
                      <w:szCs w:val="20"/>
                      <w:lang w:eastAsia="en-GB"/>
                    </w:rPr>
                  </w:pPr>
                  <w:r w:rsidRPr="00E0174B">
                    <w:rPr>
                      <w:rFonts w:ascii="Calibri" w:hAnsi="Calibri"/>
                      <w:b/>
                      <w:bCs/>
                      <w:sz w:val="20"/>
                      <w:szCs w:val="20"/>
                      <w:lang w:eastAsia="en-GB"/>
                    </w:rPr>
                    <w:t>ANY NICS CRIME</w:t>
                  </w:r>
                  <w:r w:rsidRPr="00E0174B">
                    <w:rPr>
                      <w:rFonts w:ascii="Calibri" w:hAnsi="Calibri"/>
                      <w:b/>
                      <w:bCs/>
                      <w:sz w:val="20"/>
                      <w:szCs w:val="20"/>
                      <w:vertAlign w:val="superscript"/>
                      <w:lang w:eastAsia="en-GB"/>
                    </w:rPr>
                    <w:t>3</w:t>
                  </w:r>
                </w:p>
              </w:tc>
            </w:tr>
            <w:tr w:rsidR="00812B5F" w:rsidRPr="00E0174B" w:rsidTr="00483479">
              <w:trPr>
                <w:trHeight w:val="227"/>
              </w:trPr>
              <w:tc>
                <w:tcPr>
                  <w:tcW w:w="911" w:type="dxa"/>
                  <w:shd w:val="clear" w:color="auto" w:fill="auto"/>
                  <w:noWrap/>
                  <w:vAlign w:val="bottom"/>
                  <w:hideMark/>
                </w:tcPr>
                <w:p w:rsidR="00812B5F" w:rsidRPr="00E0174B" w:rsidRDefault="00812B5F" w:rsidP="00812B5F">
                  <w:pPr>
                    <w:rPr>
                      <w:rFonts w:ascii="Calibri" w:hAnsi="Calibri"/>
                      <w:b/>
                      <w:bCs/>
                      <w:sz w:val="20"/>
                      <w:szCs w:val="20"/>
                      <w:lang w:eastAsia="en-GB"/>
                    </w:rPr>
                  </w:pPr>
                  <w:r w:rsidRPr="00E0174B">
                    <w:rPr>
                      <w:rFonts w:ascii="Calibri" w:hAnsi="Calibri"/>
                      <w:b/>
                      <w:bCs/>
                      <w:sz w:val="20"/>
                      <w:szCs w:val="20"/>
                      <w:lang w:eastAsia="en-GB"/>
                    </w:rPr>
                    <w:t>1998</w:t>
                  </w:r>
                </w:p>
              </w:tc>
              <w:tc>
                <w:tcPr>
                  <w:tcW w:w="1700" w:type="dxa"/>
                  <w:shd w:val="clear" w:color="auto" w:fill="auto"/>
                  <w:noWrap/>
                  <w:vAlign w:val="bottom"/>
                  <w:hideMark/>
                </w:tcPr>
                <w:p w:rsidR="00812B5F" w:rsidRPr="00E0174B" w:rsidRDefault="00812B5F" w:rsidP="00812B5F">
                  <w:pPr>
                    <w:rPr>
                      <w:rFonts w:ascii="Calibri" w:hAnsi="Calibri"/>
                      <w:bCs/>
                      <w:sz w:val="20"/>
                      <w:szCs w:val="20"/>
                      <w:lang w:eastAsia="en-GB"/>
                    </w:rPr>
                  </w:pPr>
                  <w:r w:rsidRPr="00E0174B">
                    <w:rPr>
                      <w:rFonts w:ascii="Calibri" w:hAnsi="Calibri"/>
                      <w:bCs/>
                      <w:sz w:val="20"/>
                      <w:szCs w:val="20"/>
                      <w:lang w:eastAsia="en-GB"/>
                    </w:rPr>
                    <w:t>23.0</w:t>
                  </w:r>
                </w:p>
              </w:tc>
            </w:tr>
            <w:tr w:rsidR="00812B5F" w:rsidRPr="00E0174B" w:rsidTr="00483479">
              <w:trPr>
                <w:trHeight w:val="227"/>
              </w:trPr>
              <w:tc>
                <w:tcPr>
                  <w:tcW w:w="911" w:type="dxa"/>
                  <w:shd w:val="clear" w:color="auto" w:fill="auto"/>
                  <w:noWrap/>
                  <w:vAlign w:val="bottom"/>
                  <w:hideMark/>
                </w:tcPr>
                <w:p w:rsidR="00812B5F" w:rsidRPr="00E0174B" w:rsidRDefault="00812B5F" w:rsidP="00812B5F">
                  <w:pPr>
                    <w:rPr>
                      <w:rFonts w:ascii="Calibri" w:hAnsi="Calibri"/>
                      <w:b/>
                      <w:bCs/>
                      <w:sz w:val="20"/>
                      <w:szCs w:val="20"/>
                      <w:lang w:eastAsia="en-GB"/>
                    </w:rPr>
                  </w:pPr>
                  <w:r w:rsidRPr="00E0174B">
                    <w:rPr>
                      <w:rFonts w:ascii="Calibri" w:hAnsi="Calibri"/>
                      <w:b/>
                      <w:bCs/>
                      <w:sz w:val="20"/>
                      <w:szCs w:val="20"/>
                      <w:lang w:eastAsia="en-GB"/>
                    </w:rPr>
                    <w:t>2001</w:t>
                  </w:r>
                </w:p>
              </w:tc>
              <w:tc>
                <w:tcPr>
                  <w:tcW w:w="1700" w:type="dxa"/>
                  <w:shd w:val="clear" w:color="auto" w:fill="auto"/>
                  <w:noWrap/>
                  <w:vAlign w:val="bottom"/>
                  <w:hideMark/>
                </w:tcPr>
                <w:p w:rsidR="00812B5F" w:rsidRPr="00E0174B" w:rsidRDefault="00812B5F" w:rsidP="00812B5F">
                  <w:pPr>
                    <w:rPr>
                      <w:rFonts w:ascii="Calibri" w:hAnsi="Calibri"/>
                      <w:bCs/>
                      <w:sz w:val="20"/>
                      <w:szCs w:val="20"/>
                      <w:lang w:eastAsia="en-GB"/>
                    </w:rPr>
                  </w:pPr>
                  <w:r w:rsidRPr="00E0174B">
                    <w:rPr>
                      <w:rFonts w:ascii="Calibri" w:hAnsi="Calibri"/>
                      <w:bCs/>
                      <w:sz w:val="20"/>
                      <w:szCs w:val="20"/>
                      <w:lang w:eastAsia="en-GB"/>
                    </w:rPr>
                    <w:t>19.7</w:t>
                  </w:r>
                </w:p>
              </w:tc>
            </w:tr>
            <w:tr w:rsidR="00812B5F" w:rsidRPr="00E0174B" w:rsidTr="00483479">
              <w:trPr>
                <w:trHeight w:val="227"/>
              </w:trPr>
              <w:tc>
                <w:tcPr>
                  <w:tcW w:w="911" w:type="dxa"/>
                  <w:shd w:val="clear" w:color="auto" w:fill="auto"/>
                  <w:noWrap/>
                  <w:vAlign w:val="bottom"/>
                  <w:hideMark/>
                </w:tcPr>
                <w:p w:rsidR="00812B5F" w:rsidRPr="00E0174B" w:rsidRDefault="00812B5F" w:rsidP="00812B5F">
                  <w:pPr>
                    <w:rPr>
                      <w:rFonts w:ascii="Calibri" w:hAnsi="Calibri"/>
                      <w:b/>
                      <w:bCs/>
                      <w:sz w:val="20"/>
                      <w:szCs w:val="20"/>
                      <w:lang w:eastAsia="en-GB"/>
                    </w:rPr>
                  </w:pPr>
                  <w:r w:rsidRPr="00E0174B">
                    <w:rPr>
                      <w:rFonts w:ascii="Calibri" w:hAnsi="Calibri"/>
                      <w:b/>
                      <w:bCs/>
                      <w:sz w:val="20"/>
                      <w:szCs w:val="20"/>
                      <w:lang w:eastAsia="en-GB"/>
                    </w:rPr>
                    <w:t>2003/04</w:t>
                  </w:r>
                </w:p>
              </w:tc>
              <w:tc>
                <w:tcPr>
                  <w:tcW w:w="1700" w:type="dxa"/>
                  <w:shd w:val="clear" w:color="auto" w:fill="auto"/>
                  <w:noWrap/>
                  <w:vAlign w:val="bottom"/>
                  <w:hideMark/>
                </w:tcPr>
                <w:p w:rsidR="00812B5F" w:rsidRPr="00E0174B" w:rsidRDefault="00812B5F" w:rsidP="00812B5F">
                  <w:pPr>
                    <w:rPr>
                      <w:rFonts w:ascii="Calibri" w:hAnsi="Calibri"/>
                      <w:bCs/>
                      <w:sz w:val="20"/>
                      <w:szCs w:val="20"/>
                      <w:lang w:eastAsia="en-GB"/>
                    </w:rPr>
                  </w:pPr>
                  <w:r w:rsidRPr="00E0174B">
                    <w:rPr>
                      <w:rFonts w:ascii="Calibri" w:hAnsi="Calibri"/>
                      <w:bCs/>
                      <w:sz w:val="20"/>
                      <w:szCs w:val="20"/>
                      <w:lang w:eastAsia="en-GB"/>
                    </w:rPr>
                    <w:t>21.4</w:t>
                  </w:r>
                </w:p>
              </w:tc>
            </w:tr>
            <w:tr w:rsidR="00812B5F" w:rsidRPr="00E0174B" w:rsidTr="00483479">
              <w:trPr>
                <w:trHeight w:val="227"/>
              </w:trPr>
              <w:tc>
                <w:tcPr>
                  <w:tcW w:w="911" w:type="dxa"/>
                  <w:shd w:val="clear" w:color="auto" w:fill="auto"/>
                  <w:noWrap/>
                  <w:vAlign w:val="bottom"/>
                  <w:hideMark/>
                </w:tcPr>
                <w:p w:rsidR="00812B5F" w:rsidRPr="00E0174B" w:rsidRDefault="00812B5F" w:rsidP="00812B5F">
                  <w:pPr>
                    <w:rPr>
                      <w:rFonts w:ascii="Calibri" w:hAnsi="Calibri"/>
                      <w:b/>
                      <w:bCs/>
                      <w:sz w:val="20"/>
                      <w:szCs w:val="20"/>
                      <w:lang w:eastAsia="en-GB"/>
                    </w:rPr>
                  </w:pPr>
                  <w:r w:rsidRPr="00E0174B">
                    <w:rPr>
                      <w:rFonts w:ascii="Calibri" w:hAnsi="Calibri"/>
                      <w:b/>
                      <w:bCs/>
                      <w:sz w:val="20"/>
                      <w:szCs w:val="20"/>
                      <w:lang w:eastAsia="en-GB"/>
                    </w:rPr>
                    <w:t>2005</w:t>
                  </w:r>
                </w:p>
              </w:tc>
              <w:tc>
                <w:tcPr>
                  <w:tcW w:w="1700" w:type="dxa"/>
                  <w:shd w:val="clear" w:color="auto" w:fill="auto"/>
                  <w:noWrap/>
                  <w:vAlign w:val="bottom"/>
                  <w:hideMark/>
                </w:tcPr>
                <w:p w:rsidR="00812B5F" w:rsidRPr="00E0174B" w:rsidRDefault="00812B5F" w:rsidP="00812B5F">
                  <w:pPr>
                    <w:rPr>
                      <w:rFonts w:ascii="Calibri" w:hAnsi="Calibri"/>
                      <w:bCs/>
                      <w:sz w:val="20"/>
                      <w:szCs w:val="20"/>
                      <w:lang w:eastAsia="en-GB"/>
                    </w:rPr>
                  </w:pPr>
                  <w:r w:rsidRPr="00E0174B">
                    <w:rPr>
                      <w:rFonts w:ascii="Calibri" w:hAnsi="Calibri"/>
                      <w:bCs/>
                      <w:sz w:val="20"/>
                      <w:szCs w:val="20"/>
                      <w:lang w:eastAsia="en-GB"/>
                    </w:rPr>
                    <w:t>17.3</w:t>
                  </w:r>
                </w:p>
              </w:tc>
            </w:tr>
            <w:tr w:rsidR="00812B5F" w:rsidRPr="00E0174B" w:rsidTr="00483479">
              <w:trPr>
                <w:trHeight w:val="227"/>
              </w:trPr>
              <w:tc>
                <w:tcPr>
                  <w:tcW w:w="911" w:type="dxa"/>
                  <w:shd w:val="clear" w:color="auto" w:fill="auto"/>
                  <w:noWrap/>
                  <w:vAlign w:val="bottom"/>
                  <w:hideMark/>
                </w:tcPr>
                <w:p w:rsidR="00812B5F" w:rsidRPr="00E0174B" w:rsidRDefault="00812B5F" w:rsidP="00812B5F">
                  <w:pPr>
                    <w:rPr>
                      <w:rFonts w:ascii="Calibri" w:hAnsi="Calibri"/>
                      <w:b/>
                      <w:bCs/>
                      <w:sz w:val="20"/>
                      <w:szCs w:val="20"/>
                      <w:lang w:eastAsia="en-GB"/>
                    </w:rPr>
                  </w:pPr>
                  <w:r w:rsidRPr="00E0174B">
                    <w:rPr>
                      <w:rFonts w:ascii="Calibri" w:hAnsi="Calibri"/>
                      <w:b/>
                      <w:bCs/>
                      <w:sz w:val="20"/>
                      <w:szCs w:val="20"/>
                      <w:lang w:eastAsia="en-GB"/>
                    </w:rPr>
                    <w:t>2006/07</w:t>
                  </w:r>
                </w:p>
              </w:tc>
              <w:tc>
                <w:tcPr>
                  <w:tcW w:w="1700" w:type="dxa"/>
                  <w:shd w:val="clear" w:color="auto" w:fill="auto"/>
                  <w:noWrap/>
                  <w:vAlign w:val="bottom"/>
                  <w:hideMark/>
                </w:tcPr>
                <w:p w:rsidR="00812B5F" w:rsidRPr="00E0174B" w:rsidRDefault="00812B5F" w:rsidP="00812B5F">
                  <w:pPr>
                    <w:rPr>
                      <w:rFonts w:ascii="Calibri" w:hAnsi="Calibri"/>
                      <w:bCs/>
                      <w:sz w:val="20"/>
                      <w:szCs w:val="20"/>
                      <w:lang w:eastAsia="en-GB"/>
                    </w:rPr>
                  </w:pPr>
                  <w:r w:rsidRPr="00E0174B">
                    <w:rPr>
                      <w:rFonts w:ascii="Calibri" w:hAnsi="Calibri"/>
                      <w:bCs/>
                      <w:sz w:val="20"/>
                      <w:szCs w:val="20"/>
                      <w:lang w:eastAsia="en-GB"/>
                    </w:rPr>
                    <w:t>14.2</w:t>
                  </w:r>
                </w:p>
              </w:tc>
            </w:tr>
            <w:tr w:rsidR="00812B5F" w:rsidRPr="00E0174B" w:rsidTr="00483479">
              <w:trPr>
                <w:trHeight w:val="227"/>
              </w:trPr>
              <w:tc>
                <w:tcPr>
                  <w:tcW w:w="911" w:type="dxa"/>
                  <w:shd w:val="clear" w:color="auto" w:fill="auto"/>
                  <w:noWrap/>
                  <w:vAlign w:val="bottom"/>
                  <w:hideMark/>
                </w:tcPr>
                <w:p w:rsidR="00812B5F" w:rsidRPr="00E0174B" w:rsidRDefault="00812B5F" w:rsidP="00812B5F">
                  <w:pPr>
                    <w:rPr>
                      <w:rFonts w:ascii="Calibri" w:hAnsi="Calibri"/>
                      <w:b/>
                      <w:bCs/>
                      <w:sz w:val="20"/>
                      <w:szCs w:val="20"/>
                      <w:lang w:eastAsia="en-GB"/>
                    </w:rPr>
                  </w:pPr>
                  <w:r w:rsidRPr="00E0174B">
                    <w:rPr>
                      <w:rFonts w:ascii="Calibri" w:hAnsi="Calibri"/>
                      <w:b/>
                      <w:bCs/>
                      <w:sz w:val="20"/>
                      <w:szCs w:val="20"/>
                      <w:lang w:eastAsia="en-GB"/>
                    </w:rPr>
                    <w:t>2007/08</w:t>
                  </w:r>
                </w:p>
              </w:tc>
              <w:tc>
                <w:tcPr>
                  <w:tcW w:w="1700" w:type="dxa"/>
                  <w:shd w:val="clear" w:color="auto" w:fill="auto"/>
                  <w:noWrap/>
                  <w:vAlign w:val="bottom"/>
                  <w:hideMark/>
                </w:tcPr>
                <w:p w:rsidR="00812B5F" w:rsidRPr="00E0174B" w:rsidRDefault="00812B5F" w:rsidP="00812B5F">
                  <w:pPr>
                    <w:rPr>
                      <w:rFonts w:ascii="Calibri" w:hAnsi="Calibri"/>
                      <w:bCs/>
                      <w:sz w:val="20"/>
                      <w:szCs w:val="20"/>
                      <w:lang w:eastAsia="en-GB"/>
                    </w:rPr>
                  </w:pPr>
                  <w:r w:rsidRPr="00E0174B">
                    <w:rPr>
                      <w:rFonts w:ascii="Calibri" w:hAnsi="Calibri"/>
                      <w:bCs/>
                      <w:sz w:val="20"/>
                      <w:szCs w:val="20"/>
                      <w:lang w:eastAsia="en-GB"/>
                    </w:rPr>
                    <w:t>13.8</w:t>
                  </w:r>
                </w:p>
              </w:tc>
            </w:tr>
            <w:tr w:rsidR="00812B5F" w:rsidRPr="00E0174B" w:rsidTr="00483479">
              <w:trPr>
                <w:trHeight w:val="227"/>
              </w:trPr>
              <w:tc>
                <w:tcPr>
                  <w:tcW w:w="911" w:type="dxa"/>
                  <w:shd w:val="clear" w:color="auto" w:fill="auto"/>
                  <w:noWrap/>
                  <w:vAlign w:val="bottom"/>
                  <w:hideMark/>
                </w:tcPr>
                <w:p w:rsidR="00812B5F" w:rsidRPr="00E0174B" w:rsidRDefault="00812B5F" w:rsidP="00812B5F">
                  <w:pPr>
                    <w:rPr>
                      <w:rFonts w:ascii="Calibri" w:hAnsi="Calibri"/>
                      <w:b/>
                      <w:bCs/>
                      <w:sz w:val="20"/>
                      <w:szCs w:val="20"/>
                      <w:lang w:eastAsia="en-GB"/>
                    </w:rPr>
                  </w:pPr>
                  <w:r w:rsidRPr="00E0174B">
                    <w:rPr>
                      <w:rFonts w:ascii="Calibri" w:hAnsi="Calibri"/>
                      <w:b/>
                      <w:bCs/>
                      <w:sz w:val="20"/>
                      <w:szCs w:val="20"/>
                      <w:lang w:eastAsia="en-GB"/>
                    </w:rPr>
                    <w:t>2008/09</w:t>
                  </w:r>
                </w:p>
              </w:tc>
              <w:tc>
                <w:tcPr>
                  <w:tcW w:w="1700" w:type="dxa"/>
                  <w:shd w:val="clear" w:color="auto" w:fill="auto"/>
                  <w:noWrap/>
                  <w:vAlign w:val="bottom"/>
                  <w:hideMark/>
                </w:tcPr>
                <w:p w:rsidR="00812B5F" w:rsidRPr="00E0174B" w:rsidRDefault="00812B5F" w:rsidP="00812B5F">
                  <w:pPr>
                    <w:rPr>
                      <w:rFonts w:ascii="Calibri" w:hAnsi="Calibri"/>
                      <w:bCs/>
                      <w:sz w:val="20"/>
                      <w:szCs w:val="20"/>
                      <w:lang w:eastAsia="en-GB"/>
                    </w:rPr>
                  </w:pPr>
                  <w:r w:rsidRPr="00E0174B">
                    <w:rPr>
                      <w:rFonts w:ascii="Calibri" w:hAnsi="Calibri"/>
                      <w:bCs/>
                      <w:sz w:val="20"/>
                      <w:szCs w:val="20"/>
                      <w:lang w:eastAsia="en-GB"/>
                    </w:rPr>
                    <w:t>13.4</w:t>
                  </w:r>
                </w:p>
              </w:tc>
            </w:tr>
            <w:tr w:rsidR="00812B5F" w:rsidRPr="00E0174B" w:rsidTr="00483479">
              <w:trPr>
                <w:trHeight w:val="227"/>
              </w:trPr>
              <w:tc>
                <w:tcPr>
                  <w:tcW w:w="911" w:type="dxa"/>
                  <w:shd w:val="clear" w:color="auto" w:fill="auto"/>
                  <w:noWrap/>
                  <w:vAlign w:val="bottom"/>
                  <w:hideMark/>
                </w:tcPr>
                <w:p w:rsidR="00812B5F" w:rsidRPr="00E0174B" w:rsidRDefault="00812B5F" w:rsidP="00812B5F">
                  <w:pPr>
                    <w:rPr>
                      <w:rFonts w:ascii="Calibri" w:hAnsi="Calibri"/>
                      <w:b/>
                      <w:bCs/>
                      <w:sz w:val="20"/>
                      <w:szCs w:val="20"/>
                      <w:lang w:eastAsia="en-GB"/>
                    </w:rPr>
                  </w:pPr>
                  <w:r w:rsidRPr="00E0174B">
                    <w:rPr>
                      <w:rFonts w:ascii="Calibri" w:hAnsi="Calibri"/>
                      <w:b/>
                      <w:bCs/>
                      <w:sz w:val="20"/>
                      <w:szCs w:val="20"/>
                      <w:lang w:eastAsia="en-GB"/>
                    </w:rPr>
                    <w:t>2009/10</w:t>
                  </w:r>
                </w:p>
              </w:tc>
              <w:tc>
                <w:tcPr>
                  <w:tcW w:w="1700" w:type="dxa"/>
                  <w:shd w:val="clear" w:color="auto" w:fill="auto"/>
                  <w:noWrap/>
                  <w:vAlign w:val="bottom"/>
                  <w:hideMark/>
                </w:tcPr>
                <w:p w:rsidR="00812B5F" w:rsidRPr="00E0174B" w:rsidRDefault="00812B5F" w:rsidP="00812B5F">
                  <w:pPr>
                    <w:rPr>
                      <w:rFonts w:ascii="Calibri" w:hAnsi="Calibri"/>
                      <w:bCs/>
                      <w:sz w:val="20"/>
                      <w:szCs w:val="20"/>
                      <w:lang w:eastAsia="en-GB"/>
                    </w:rPr>
                  </w:pPr>
                  <w:r w:rsidRPr="00E0174B">
                    <w:rPr>
                      <w:rFonts w:ascii="Calibri" w:hAnsi="Calibri"/>
                      <w:bCs/>
                      <w:sz w:val="20"/>
                      <w:szCs w:val="20"/>
                      <w:lang w:eastAsia="en-GB"/>
                    </w:rPr>
                    <w:t>14.3</w:t>
                  </w:r>
                </w:p>
              </w:tc>
            </w:tr>
            <w:tr w:rsidR="00812B5F" w:rsidRPr="00E0174B" w:rsidTr="00483479">
              <w:trPr>
                <w:trHeight w:val="227"/>
              </w:trPr>
              <w:tc>
                <w:tcPr>
                  <w:tcW w:w="911" w:type="dxa"/>
                  <w:shd w:val="clear" w:color="auto" w:fill="auto"/>
                  <w:noWrap/>
                  <w:vAlign w:val="bottom"/>
                  <w:hideMark/>
                </w:tcPr>
                <w:p w:rsidR="00812B5F" w:rsidRPr="00E0174B" w:rsidRDefault="00812B5F" w:rsidP="00812B5F">
                  <w:pPr>
                    <w:rPr>
                      <w:rFonts w:ascii="Calibri" w:hAnsi="Calibri"/>
                      <w:b/>
                      <w:bCs/>
                      <w:sz w:val="20"/>
                      <w:szCs w:val="20"/>
                      <w:lang w:eastAsia="en-GB"/>
                    </w:rPr>
                  </w:pPr>
                  <w:r w:rsidRPr="00E0174B">
                    <w:rPr>
                      <w:rFonts w:ascii="Calibri" w:hAnsi="Calibri"/>
                      <w:b/>
                      <w:bCs/>
                      <w:sz w:val="20"/>
                      <w:szCs w:val="20"/>
                      <w:lang w:eastAsia="en-GB"/>
                    </w:rPr>
                    <w:t>2010/11</w:t>
                  </w:r>
                </w:p>
              </w:tc>
              <w:tc>
                <w:tcPr>
                  <w:tcW w:w="1700" w:type="dxa"/>
                  <w:shd w:val="clear" w:color="auto" w:fill="auto"/>
                  <w:noWrap/>
                  <w:vAlign w:val="bottom"/>
                  <w:hideMark/>
                </w:tcPr>
                <w:p w:rsidR="00812B5F" w:rsidRPr="00E0174B" w:rsidRDefault="00812B5F" w:rsidP="00812B5F">
                  <w:pPr>
                    <w:rPr>
                      <w:rFonts w:ascii="Calibri" w:hAnsi="Calibri"/>
                      <w:bCs/>
                      <w:sz w:val="20"/>
                      <w:szCs w:val="20"/>
                      <w:lang w:eastAsia="en-GB"/>
                    </w:rPr>
                  </w:pPr>
                  <w:r w:rsidRPr="00E0174B">
                    <w:rPr>
                      <w:rFonts w:ascii="Calibri" w:hAnsi="Calibri"/>
                      <w:bCs/>
                      <w:sz w:val="20"/>
                      <w:szCs w:val="20"/>
                      <w:lang w:eastAsia="en-GB"/>
                    </w:rPr>
                    <w:t>12.6</w:t>
                  </w:r>
                </w:p>
              </w:tc>
            </w:tr>
            <w:tr w:rsidR="00812B5F" w:rsidRPr="00E0174B" w:rsidTr="00483479">
              <w:trPr>
                <w:trHeight w:val="227"/>
              </w:trPr>
              <w:tc>
                <w:tcPr>
                  <w:tcW w:w="911" w:type="dxa"/>
                  <w:shd w:val="clear" w:color="auto" w:fill="auto"/>
                  <w:noWrap/>
                  <w:vAlign w:val="bottom"/>
                  <w:hideMark/>
                </w:tcPr>
                <w:p w:rsidR="00812B5F" w:rsidRPr="00E0174B" w:rsidRDefault="00812B5F" w:rsidP="00812B5F">
                  <w:pPr>
                    <w:rPr>
                      <w:rFonts w:ascii="Calibri" w:hAnsi="Calibri"/>
                      <w:b/>
                      <w:bCs/>
                      <w:sz w:val="20"/>
                      <w:szCs w:val="20"/>
                      <w:lang w:eastAsia="en-GB"/>
                    </w:rPr>
                  </w:pPr>
                  <w:r w:rsidRPr="00E0174B">
                    <w:rPr>
                      <w:rFonts w:ascii="Calibri" w:hAnsi="Calibri"/>
                      <w:b/>
                      <w:bCs/>
                      <w:sz w:val="20"/>
                      <w:szCs w:val="20"/>
                      <w:lang w:eastAsia="en-GB"/>
                    </w:rPr>
                    <w:t>2011/12</w:t>
                  </w:r>
                </w:p>
              </w:tc>
              <w:tc>
                <w:tcPr>
                  <w:tcW w:w="1700" w:type="dxa"/>
                  <w:shd w:val="clear" w:color="auto" w:fill="auto"/>
                  <w:noWrap/>
                  <w:vAlign w:val="bottom"/>
                  <w:hideMark/>
                </w:tcPr>
                <w:p w:rsidR="00812B5F" w:rsidRPr="00E0174B" w:rsidRDefault="00812B5F" w:rsidP="00812B5F">
                  <w:pPr>
                    <w:rPr>
                      <w:rFonts w:ascii="Calibri" w:hAnsi="Calibri"/>
                      <w:bCs/>
                      <w:sz w:val="20"/>
                      <w:szCs w:val="20"/>
                      <w:lang w:eastAsia="en-GB"/>
                    </w:rPr>
                  </w:pPr>
                  <w:r w:rsidRPr="00E0174B">
                    <w:rPr>
                      <w:rFonts w:ascii="Calibri" w:hAnsi="Calibri"/>
                      <w:bCs/>
                      <w:sz w:val="20"/>
                      <w:szCs w:val="20"/>
                      <w:lang w:eastAsia="en-GB"/>
                    </w:rPr>
                    <w:t>11.2</w:t>
                  </w:r>
                </w:p>
              </w:tc>
            </w:tr>
            <w:tr w:rsidR="00812B5F" w:rsidRPr="00E0174B" w:rsidTr="00483479">
              <w:trPr>
                <w:trHeight w:val="227"/>
              </w:trPr>
              <w:tc>
                <w:tcPr>
                  <w:tcW w:w="911" w:type="dxa"/>
                  <w:shd w:val="clear" w:color="auto" w:fill="auto"/>
                  <w:noWrap/>
                  <w:vAlign w:val="bottom"/>
                  <w:hideMark/>
                </w:tcPr>
                <w:p w:rsidR="00812B5F" w:rsidRPr="00E0174B" w:rsidRDefault="00812B5F" w:rsidP="00812B5F">
                  <w:pPr>
                    <w:rPr>
                      <w:rFonts w:ascii="Calibri" w:hAnsi="Calibri"/>
                      <w:b/>
                      <w:bCs/>
                      <w:sz w:val="20"/>
                      <w:szCs w:val="20"/>
                      <w:lang w:eastAsia="en-GB"/>
                    </w:rPr>
                  </w:pPr>
                  <w:r w:rsidRPr="00E0174B">
                    <w:rPr>
                      <w:rFonts w:ascii="Calibri" w:hAnsi="Calibri"/>
                      <w:b/>
                      <w:bCs/>
                      <w:sz w:val="20"/>
                      <w:szCs w:val="20"/>
                      <w:lang w:eastAsia="en-GB"/>
                    </w:rPr>
                    <w:t>2012/13</w:t>
                  </w:r>
                </w:p>
              </w:tc>
              <w:tc>
                <w:tcPr>
                  <w:tcW w:w="1700" w:type="dxa"/>
                  <w:shd w:val="clear" w:color="auto" w:fill="auto"/>
                  <w:noWrap/>
                  <w:vAlign w:val="bottom"/>
                  <w:hideMark/>
                </w:tcPr>
                <w:p w:rsidR="00812B5F" w:rsidRPr="00E0174B" w:rsidRDefault="00812B5F" w:rsidP="00812B5F">
                  <w:pPr>
                    <w:rPr>
                      <w:rFonts w:ascii="Calibri" w:hAnsi="Calibri"/>
                      <w:bCs/>
                      <w:sz w:val="20"/>
                      <w:szCs w:val="20"/>
                      <w:lang w:eastAsia="en-GB"/>
                    </w:rPr>
                  </w:pPr>
                  <w:r w:rsidRPr="00E0174B">
                    <w:rPr>
                      <w:rFonts w:ascii="Calibri" w:hAnsi="Calibri"/>
                      <w:bCs/>
                      <w:sz w:val="20"/>
                      <w:szCs w:val="20"/>
                      <w:lang w:eastAsia="en-GB"/>
                    </w:rPr>
                    <w:t>10.9</w:t>
                  </w:r>
                </w:p>
              </w:tc>
            </w:tr>
            <w:tr w:rsidR="00812B5F" w:rsidRPr="00E0174B" w:rsidTr="00483479">
              <w:trPr>
                <w:trHeight w:val="227"/>
              </w:trPr>
              <w:tc>
                <w:tcPr>
                  <w:tcW w:w="911" w:type="dxa"/>
                  <w:shd w:val="clear" w:color="auto" w:fill="auto"/>
                  <w:noWrap/>
                  <w:vAlign w:val="bottom"/>
                  <w:hideMark/>
                </w:tcPr>
                <w:p w:rsidR="00812B5F" w:rsidRPr="00E0174B" w:rsidRDefault="00812B5F" w:rsidP="00812B5F">
                  <w:pPr>
                    <w:rPr>
                      <w:rFonts w:ascii="Calibri" w:hAnsi="Calibri"/>
                      <w:b/>
                      <w:bCs/>
                      <w:sz w:val="20"/>
                      <w:szCs w:val="20"/>
                      <w:lang w:eastAsia="en-GB"/>
                    </w:rPr>
                  </w:pPr>
                  <w:r w:rsidRPr="00E0174B">
                    <w:rPr>
                      <w:rFonts w:ascii="Calibri" w:hAnsi="Calibri"/>
                      <w:b/>
                      <w:bCs/>
                      <w:sz w:val="20"/>
                      <w:szCs w:val="20"/>
                      <w:lang w:eastAsia="en-GB"/>
                    </w:rPr>
                    <w:t>2013/14</w:t>
                  </w:r>
                </w:p>
              </w:tc>
              <w:tc>
                <w:tcPr>
                  <w:tcW w:w="1700" w:type="dxa"/>
                  <w:shd w:val="clear" w:color="auto" w:fill="auto"/>
                  <w:noWrap/>
                  <w:vAlign w:val="bottom"/>
                  <w:hideMark/>
                </w:tcPr>
                <w:p w:rsidR="00812B5F" w:rsidRPr="00E0174B" w:rsidRDefault="00812B5F" w:rsidP="00812B5F">
                  <w:pPr>
                    <w:rPr>
                      <w:rFonts w:ascii="Calibri" w:hAnsi="Calibri"/>
                      <w:bCs/>
                      <w:sz w:val="20"/>
                      <w:szCs w:val="20"/>
                      <w:lang w:eastAsia="en-GB"/>
                    </w:rPr>
                  </w:pPr>
                  <w:r w:rsidRPr="00E0174B">
                    <w:rPr>
                      <w:rFonts w:ascii="Calibri" w:hAnsi="Calibri"/>
                      <w:bCs/>
                      <w:sz w:val="20"/>
                      <w:szCs w:val="20"/>
                      <w:lang w:eastAsia="en-GB"/>
                    </w:rPr>
                    <w:t>10.0</w:t>
                  </w:r>
                </w:p>
              </w:tc>
            </w:tr>
            <w:tr w:rsidR="00812B5F" w:rsidRPr="00E0174B" w:rsidTr="00483479">
              <w:trPr>
                <w:trHeight w:val="227"/>
              </w:trPr>
              <w:tc>
                <w:tcPr>
                  <w:tcW w:w="911" w:type="dxa"/>
                  <w:shd w:val="clear" w:color="auto" w:fill="auto"/>
                  <w:noWrap/>
                  <w:vAlign w:val="bottom"/>
                  <w:hideMark/>
                </w:tcPr>
                <w:p w:rsidR="00812B5F" w:rsidRPr="00E0174B" w:rsidRDefault="00812B5F" w:rsidP="00812B5F">
                  <w:pPr>
                    <w:rPr>
                      <w:rFonts w:ascii="Calibri" w:hAnsi="Calibri"/>
                      <w:b/>
                      <w:bCs/>
                      <w:sz w:val="20"/>
                      <w:szCs w:val="20"/>
                      <w:lang w:eastAsia="en-GB"/>
                    </w:rPr>
                  </w:pPr>
                  <w:r w:rsidRPr="00E0174B">
                    <w:rPr>
                      <w:rFonts w:ascii="Calibri" w:hAnsi="Calibri"/>
                      <w:b/>
                      <w:bCs/>
                      <w:sz w:val="20"/>
                      <w:szCs w:val="20"/>
                      <w:lang w:eastAsia="en-GB"/>
                    </w:rPr>
                    <w:t>2014/15</w:t>
                  </w:r>
                </w:p>
              </w:tc>
              <w:tc>
                <w:tcPr>
                  <w:tcW w:w="1700" w:type="dxa"/>
                  <w:shd w:val="clear" w:color="auto" w:fill="auto"/>
                  <w:noWrap/>
                  <w:vAlign w:val="bottom"/>
                  <w:hideMark/>
                </w:tcPr>
                <w:p w:rsidR="00812B5F" w:rsidRPr="00E0174B" w:rsidRDefault="00812B5F" w:rsidP="00812B5F">
                  <w:pPr>
                    <w:rPr>
                      <w:rFonts w:ascii="Calibri" w:hAnsi="Calibri"/>
                      <w:bCs/>
                      <w:sz w:val="20"/>
                      <w:szCs w:val="20"/>
                      <w:lang w:eastAsia="en-GB"/>
                    </w:rPr>
                  </w:pPr>
                  <w:r w:rsidRPr="00E0174B">
                    <w:rPr>
                      <w:rFonts w:ascii="Calibri" w:hAnsi="Calibri"/>
                      <w:bCs/>
                      <w:sz w:val="20"/>
                      <w:szCs w:val="20"/>
                      <w:lang w:eastAsia="en-GB"/>
                    </w:rPr>
                    <w:t>8.8</w:t>
                  </w:r>
                </w:p>
              </w:tc>
            </w:tr>
            <w:tr w:rsidR="00812B5F" w:rsidRPr="00E0174B" w:rsidTr="00483479">
              <w:trPr>
                <w:trHeight w:val="227"/>
              </w:trPr>
              <w:tc>
                <w:tcPr>
                  <w:tcW w:w="911" w:type="dxa"/>
                  <w:shd w:val="clear" w:color="auto" w:fill="auto"/>
                  <w:noWrap/>
                  <w:vAlign w:val="bottom"/>
                </w:tcPr>
                <w:p w:rsidR="00812B5F" w:rsidRPr="00E0174B" w:rsidRDefault="00812B5F" w:rsidP="00812B5F">
                  <w:pPr>
                    <w:rPr>
                      <w:rFonts w:ascii="Calibri" w:hAnsi="Calibri"/>
                      <w:b/>
                      <w:bCs/>
                      <w:sz w:val="20"/>
                      <w:szCs w:val="20"/>
                      <w:lang w:eastAsia="en-GB"/>
                    </w:rPr>
                  </w:pPr>
                  <w:r>
                    <w:rPr>
                      <w:rFonts w:ascii="Calibri" w:hAnsi="Calibri"/>
                      <w:b/>
                      <w:bCs/>
                      <w:sz w:val="20"/>
                      <w:szCs w:val="20"/>
                      <w:lang w:eastAsia="en-GB"/>
                    </w:rPr>
                    <w:t>2015/16</w:t>
                  </w:r>
                </w:p>
              </w:tc>
              <w:tc>
                <w:tcPr>
                  <w:tcW w:w="1700" w:type="dxa"/>
                  <w:shd w:val="clear" w:color="auto" w:fill="auto"/>
                  <w:noWrap/>
                  <w:vAlign w:val="bottom"/>
                </w:tcPr>
                <w:p w:rsidR="00812B5F" w:rsidRPr="00E0174B" w:rsidRDefault="00812B5F" w:rsidP="00812B5F">
                  <w:pPr>
                    <w:rPr>
                      <w:rFonts w:ascii="Calibri" w:hAnsi="Calibri"/>
                      <w:bCs/>
                      <w:sz w:val="20"/>
                      <w:szCs w:val="20"/>
                      <w:lang w:eastAsia="en-GB"/>
                    </w:rPr>
                  </w:pPr>
                  <w:r>
                    <w:rPr>
                      <w:rFonts w:ascii="Calibri" w:hAnsi="Calibri"/>
                      <w:bCs/>
                      <w:sz w:val="20"/>
                      <w:szCs w:val="20"/>
                      <w:lang w:eastAsia="en-GB"/>
                    </w:rPr>
                    <w:t>8.9</w:t>
                  </w:r>
                </w:p>
              </w:tc>
            </w:tr>
            <w:tr w:rsidR="00812B5F" w:rsidRPr="00E0174B" w:rsidTr="00483479">
              <w:trPr>
                <w:trHeight w:val="227"/>
              </w:trPr>
              <w:tc>
                <w:tcPr>
                  <w:tcW w:w="911" w:type="dxa"/>
                  <w:shd w:val="clear" w:color="auto" w:fill="auto"/>
                  <w:noWrap/>
                  <w:vAlign w:val="bottom"/>
                </w:tcPr>
                <w:p w:rsidR="00812B5F" w:rsidRDefault="00812B5F" w:rsidP="00812B5F">
                  <w:pPr>
                    <w:rPr>
                      <w:rFonts w:ascii="Calibri" w:hAnsi="Calibri"/>
                      <w:b/>
                      <w:bCs/>
                      <w:sz w:val="20"/>
                      <w:szCs w:val="20"/>
                      <w:lang w:eastAsia="en-GB"/>
                    </w:rPr>
                  </w:pPr>
                  <w:r>
                    <w:rPr>
                      <w:rFonts w:ascii="Calibri" w:hAnsi="Calibri"/>
                      <w:b/>
                      <w:bCs/>
                      <w:sz w:val="20"/>
                      <w:szCs w:val="20"/>
                      <w:lang w:eastAsia="en-GB"/>
                    </w:rPr>
                    <w:t>2016/17</w:t>
                  </w:r>
                </w:p>
              </w:tc>
              <w:tc>
                <w:tcPr>
                  <w:tcW w:w="1700" w:type="dxa"/>
                  <w:shd w:val="clear" w:color="auto" w:fill="auto"/>
                  <w:noWrap/>
                  <w:vAlign w:val="bottom"/>
                </w:tcPr>
                <w:p w:rsidR="00812B5F" w:rsidRDefault="00812B5F" w:rsidP="00812B5F">
                  <w:pPr>
                    <w:rPr>
                      <w:rFonts w:ascii="Calibri" w:hAnsi="Calibri"/>
                      <w:bCs/>
                      <w:sz w:val="20"/>
                      <w:szCs w:val="20"/>
                      <w:lang w:eastAsia="en-GB"/>
                    </w:rPr>
                  </w:pPr>
                  <w:r>
                    <w:rPr>
                      <w:rFonts w:ascii="Calibri" w:hAnsi="Calibri"/>
                      <w:bCs/>
                      <w:sz w:val="20"/>
                      <w:szCs w:val="20"/>
                      <w:lang w:eastAsia="en-GB"/>
                    </w:rPr>
                    <w:t>8.7</w:t>
                  </w:r>
                </w:p>
              </w:tc>
            </w:tr>
            <w:tr w:rsidR="00812B5F" w:rsidRPr="00E0174B" w:rsidTr="00483479">
              <w:trPr>
                <w:trHeight w:val="227"/>
              </w:trPr>
              <w:tc>
                <w:tcPr>
                  <w:tcW w:w="911" w:type="dxa"/>
                  <w:shd w:val="clear" w:color="auto" w:fill="auto"/>
                  <w:noWrap/>
                  <w:vAlign w:val="bottom"/>
                </w:tcPr>
                <w:p w:rsidR="00812B5F" w:rsidRDefault="00812B5F" w:rsidP="00812B5F">
                  <w:pPr>
                    <w:rPr>
                      <w:rFonts w:ascii="Calibri" w:hAnsi="Calibri"/>
                      <w:b/>
                      <w:bCs/>
                      <w:sz w:val="20"/>
                      <w:szCs w:val="20"/>
                      <w:lang w:eastAsia="en-GB"/>
                    </w:rPr>
                  </w:pPr>
                  <w:r>
                    <w:rPr>
                      <w:rFonts w:ascii="Calibri" w:hAnsi="Calibri"/>
                      <w:b/>
                      <w:bCs/>
                      <w:sz w:val="20"/>
                      <w:szCs w:val="20"/>
                      <w:lang w:eastAsia="en-GB"/>
                    </w:rPr>
                    <w:t>2017/18</w:t>
                  </w:r>
                </w:p>
              </w:tc>
              <w:tc>
                <w:tcPr>
                  <w:tcW w:w="1700" w:type="dxa"/>
                  <w:shd w:val="clear" w:color="auto" w:fill="auto"/>
                  <w:noWrap/>
                  <w:vAlign w:val="bottom"/>
                </w:tcPr>
                <w:p w:rsidR="00812B5F" w:rsidRDefault="00812B5F" w:rsidP="00812B5F">
                  <w:pPr>
                    <w:rPr>
                      <w:rFonts w:ascii="Calibri" w:hAnsi="Calibri"/>
                      <w:bCs/>
                      <w:sz w:val="20"/>
                      <w:szCs w:val="20"/>
                      <w:lang w:eastAsia="en-GB"/>
                    </w:rPr>
                  </w:pPr>
                  <w:r>
                    <w:rPr>
                      <w:rFonts w:ascii="Calibri" w:hAnsi="Calibri"/>
                      <w:bCs/>
                      <w:sz w:val="20"/>
                      <w:szCs w:val="20"/>
                      <w:lang w:eastAsia="en-GB"/>
                    </w:rPr>
                    <w:t>7.9</w:t>
                  </w:r>
                </w:p>
              </w:tc>
            </w:tr>
            <w:tr w:rsidR="00812B5F" w:rsidRPr="00E0174B" w:rsidTr="00483479">
              <w:trPr>
                <w:trHeight w:val="227"/>
              </w:trPr>
              <w:tc>
                <w:tcPr>
                  <w:tcW w:w="911" w:type="dxa"/>
                  <w:shd w:val="clear" w:color="auto" w:fill="auto"/>
                  <w:noWrap/>
                  <w:vAlign w:val="bottom"/>
                </w:tcPr>
                <w:p w:rsidR="00812B5F" w:rsidRDefault="00812B5F" w:rsidP="00812B5F">
                  <w:pPr>
                    <w:rPr>
                      <w:rFonts w:ascii="Calibri" w:hAnsi="Calibri"/>
                      <w:b/>
                      <w:bCs/>
                      <w:sz w:val="20"/>
                      <w:szCs w:val="20"/>
                      <w:lang w:eastAsia="en-GB"/>
                    </w:rPr>
                  </w:pPr>
                  <w:r>
                    <w:rPr>
                      <w:rFonts w:ascii="Calibri" w:hAnsi="Calibri"/>
                      <w:b/>
                      <w:bCs/>
                      <w:sz w:val="20"/>
                      <w:szCs w:val="20"/>
                      <w:lang w:eastAsia="en-GB"/>
                    </w:rPr>
                    <w:t>2018/19</w:t>
                  </w:r>
                </w:p>
              </w:tc>
              <w:tc>
                <w:tcPr>
                  <w:tcW w:w="1700" w:type="dxa"/>
                  <w:shd w:val="clear" w:color="auto" w:fill="auto"/>
                  <w:noWrap/>
                  <w:vAlign w:val="bottom"/>
                </w:tcPr>
                <w:p w:rsidR="00812B5F" w:rsidRDefault="00812B5F" w:rsidP="00812B5F">
                  <w:pPr>
                    <w:rPr>
                      <w:rFonts w:ascii="Calibri" w:hAnsi="Calibri"/>
                      <w:bCs/>
                      <w:sz w:val="20"/>
                      <w:szCs w:val="20"/>
                      <w:lang w:eastAsia="en-GB"/>
                    </w:rPr>
                  </w:pPr>
                  <w:r>
                    <w:rPr>
                      <w:rFonts w:ascii="Calibri" w:hAnsi="Calibri"/>
                      <w:bCs/>
                      <w:sz w:val="20"/>
                      <w:szCs w:val="20"/>
                      <w:lang w:eastAsia="en-GB"/>
                    </w:rPr>
                    <w:t>7.5</w:t>
                  </w:r>
                </w:p>
              </w:tc>
            </w:tr>
          </w:tbl>
          <w:p w:rsidR="00812B5F" w:rsidRPr="001410C8" w:rsidRDefault="00812B5F" w:rsidP="00812B5F">
            <w:pPr>
              <w:rPr>
                <w:rFonts w:asciiTheme="minorHAnsi" w:hAnsiTheme="minorHAnsi"/>
                <w:sz w:val="16"/>
                <w:szCs w:val="20"/>
              </w:rPr>
            </w:pPr>
            <w:r w:rsidRPr="001410C8">
              <w:rPr>
                <w:rFonts w:asciiTheme="minorHAnsi" w:hAnsiTheme="minorHAnsi"/>
                <w:sz w:val="16"/>
                <w:szCs w:val="20"/>
              </w:rPr>
              <w:t>1. Prevalence risks for household crime (vandalism, burglary, vehicle-related theft, bicycle theft and other household theft) are based on households.</w:t>
            </w:r>
          </w:p>
          <w:p w:rsidR="00812B5F" w:rsidRPr="001410C8" w:rsidRDefault="00812B5F" w:rsidP="00812B5F">
            <w:pPr>
              <w:rPr>
                <w:rFonts w:asciiTheme="minorHAnsi" w:hAnsiTheme="minorHAnsi"/>
                <w:sz w:val="16"/>
                <w:szCs w:val="20"/>
              </w:rPr>
            </w:pPr>
            <w:r w:rsidRPr="001410C8">
              <w:rPr>
                <w:rFonts w:asciiTheme="minorHAnsi" w:hAnsiTheme="minorHAnsi"/>
                <w:sz w:val="16"/>
                <w:szCs w:val="20"/>
              </w:rPr>
              <w:t>2. Prevalence risks for violent crime (common assault, assault with minor injury, assault with no injury, wounding and mugging) and personal crime (violent crime, stealth theft from the person and other thefts of personal property) are based on adults and are weighted for household size.</w:t>
            </w:r>
          </w:p>
          <w:p w:rsidR="00812B5F" w:rsidRPr="001410C8" w:rsidRDefault="00812B5F" w:rsidP="00812B5F">
            <w:pPr>
              <w:rPr>
                <w:rFonts w:asciiTheme="minorHAnsi" w:hAnsiTheme="minorHAnsi"/>
                <w:sz w:val="16"/>
                <w:szCs w:val="20"/>
              </w:rPr>
            </w:pPr>
            <w:r w:rsidRPr="001410C8">
              <w:rPr>
                <w:rFonts w:asciiTheme="minorHAnsi" w:hAnsiTheme="minorHAnsi"/>
                <w:sz w:val="16"/>
                <w:szCs w:val="20"/>
              </w:rPr>
              <w:t>3. The any NI</w:t>
            </w:r>
            <w:r>
              <w:rPr>
                <w:rFonts w:asciiTheme="minorHAnsi" w:hAnsiTheme="minorHAnsi"/>
                <w:sz w:val="16"/>
                <w:szCs w:val="20"/>
              </w:rPr>
              <w:t>S</w:t>
            </w:r>
            <w:r w:rsidRPr="001410C8">
              <w:rPr>
                <w:rFonts w:asciiTheme="minorHAnsi" w:hAnsiTheme="minorHAnsi"/>
                <w:sz w:val="16"/>
                <w:szCs w:val="20"/>
              </w:rPr>
              <w:t xml:space="preserve">CS crime rate is calculated treating a household crime as a personal crime.  It is the estimated percentage of adults who have been a victim of at least one personal crime or have been resident in a household that was a victim of at least one household crime.  </w:t>
            </w:r>
          </w:p>
          <w:p w:rsidR="00A85CFB" w:rsidRPr="00B8684A" w:rsidRDefault="00812B5F" w:rsidP="00812B5F">
            <w:pPr>
              <w:rPr>
                <w:rFonts w:asciiTheme="minorHAnsi" w:hAnsiTheme="minorHAnsi"/>
                <w:sz w:val="20"/>
                <w:highlight w:val="yellow"/>
              </w:rPr>
            </w:pPr>
            <w:bookmarkStart w:id="2" w:name="_MON_1524390434"/>
            <w:bookmarkEnd w:id="2"/>
            <w:r>
              <w:rPr>
                <w:rFonts w:asciiTheme="minorHAnsi" w:hAnsiTheme="minorHAnsi"/>
                <w:sz w:val="20"/>
                <w:szCs w:val="20"/>
              </w:rPr>
              <w:t>Detailed table:</w:t>
            </w:r>
            <w:r w:rsidRPr="00345E2E">
              <w:rPr>
                <w:rFonts w:asciiTheme="minorHAnsi" w:hAnsiTheme="minorHAnsi"/>
                <w:sz w:val="20"/>
                <w:szCs w:val="20"/>
              </w:rPr>
              <w:t xml:space="preserve">  </w:t>
            </w:r>
          </w:p>
          <w:p w:rsidR="00A85CFB" w:rsidRPr="00B8684A" w:rsidRDefault="00A85CFB" w:rsidP="00952736">
            <w:pPr>
              <w:rPr>
                <w:rFonts w:asciiTheme="minorHAnsi" w:hAnsiTheme="minorHAnsi"/>
                <w:sz w:val="20"/>
                <w:szCs w:val="20"/>
                <w:highlight w:val="yellow"/>
              </w:rPr>
            </w:pPr>
            <w:r w:rsidRPr="00377F2C">
              <w:rPr>
                <w:rFonts w:asciiTheme="minorHAnsi" w:hAnsiTheme="minorHAnsi"/>
                <w:sz w:val="20"/>
              </w:rPr>
              <w:t xml:space="preserve"> </w:t>
            </w:r>
          </w:p>
        </w:tc>
      </w:tr>
      <w:tr w:rsidR="00A85CFB" w:rsidRPr="008F671D" w:rsidTr="00952736">
        <w:trPr>
          <w:trHeight w:val="687"/>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u w:val="single"/>
              </w:rPr>
            </w:pPr>
            <w:r w:rsidRPr="00345E2E">
              <w:rPr>
                <w:rFonts w:asciiTheme="minorHAnsi" w:hAnsiTheme="minorHAnsi"/>
                <w:b/>
                <w:sz w:val="20"/>
                <w:szCs w:val="20"/>
                <w:u w:val="single"/>
              </w:rPr>
              <w:t xml:space="preserve">For Survey Data </w:t>
            </w:r>
          </w:p>
          <w:p w:rsidR="00A85CFB" w:rsidRPr="00345E2E" w:rsidRDefault="00A85CFB" w:rsidP="00C06DF4">
            <w:pPr>
              <w:rPr>
                <w:rFonts w:asciiTheme="minorHAnsi" w:hAnsiTheme="minorHAnsi"/>
                <w:b/>
                <w:sz w:val="20"/>
                <w:szCs w:val="20"/>
              </w:rPr>
            </w:pPr>
            <w:r>
              <w:rPr>
                <w:rFonts w:asciiTheme="minorHAnsi" w:hAnsiTheme="minorHAnsi"/>
                <w:b/>
                <w:sz w:val="20"/>
                <w:szCs w:val="20"/>
              </w:rPr>
              <w:t>S</w:t>
            </w:r>
            <w:r w:rsidRPr="00345E2E">
              <w:rPr>
                <w:rFonts w:asciiTheme="minorHAnsi" w:hAnsiTheme="minorHAnsi"/>
                <w:b/>
                <w:sz w:val="20"/>
                <w:szCs w:val="20"/>
              </w:rPr>
              <w:t>ample size and confidence interval for the latest available year:</w:t>
            </w:r>
          </w:p>
        </w:tc>
        <w:tc>
          <w:tcPr>
            <w:tcW w:w="7229" w:type="dxa"/>
            <w:gridSpan w:val="2"/>
            <w:vAlign w:val="center"/>
          </w:tcPr>
          <w:p w:rsidR="00812B5F" w:rsidRPr="00345E2E" w:rsidRDefault="00812B5F" w:rsidP="00812B5F">
            <w:pPr>
              <w:rPr>
                <w:rFonts w:asciiTheme="minorHAnsi" w:hAnsiTheme="minorHAnsi"/>
                <w:sz w:val="20"/>
                <w:szCs w:val="20"/>
              </w:rPr>
            </w:pPr>
            <w:r w:rsidRPr="00345E2E">
              <w:rPr>
                <w:rFonts w:asciiTheme="minorHAnsi" w:hAnsiTheme="minorHAnsi"/>
                <w:sz w:val="20"/>
                <w:szCs w:val="20"/>
              </w:rPr>
              <w:t>Sample size:</w:t>
            </w:r>
            <w:r>
              <w:rPr>
                <w:rFonts w:asciiTheme="minorHAnsi" w:hAnsiTheme="minorHAnsi"/>
                <w:sz w:val="20"/>
                <w:szCs w:val="20"/>
              </w:rPr>
              <w:t xml:space="preserve"> 3,429</w:t>
            </w:r>
          </w:p>
          <w:p w:rsidR="00A85CFB" w:rsidRPr="008F671D" w:rsidRDefault="00812B5F" w:rsidP="00812B5F">
            <w:pPr>
              <w:rPr>
                <w:rFonts w:asciiTheme="minorHAnsi" w:hAnsiTheme="minorHAnsi"/>
                <w:sz w:val="20"/>
              </w:rPr>
            </w:pPr>
            <w:r w:rsidRPr="00345E2E">
              <w:rPr>
                <w:rFonts w:asciiTheme="minorHAnsi" w:hAnsiTheme="minorHAnsi"/>
                <w:sz w:val="20"/>
                <w:szCs w:val="20"/>
              </w:rPr>
              <w:t xml:space="preserve">Confidence interval: Best estimate </w:t>
            </w:r>
            <w:r>
              <w:rPr>
                <w:rFonts w:asciiTheme="minorHAnsi" w:hAnsiTheme="minorHAnsi"/>
                <w:sz w:val="20"/>
                <w:szCs w:val="20"/>
              </w:rPr>
              <w:t>7.5</w:t>
            </w:r>
            <w:r w:rsidRPr="00345E2E">
              <w:rPr>
                <w:rFonts w:asciiTheme="minorHAnsi" w:hAnsiTheme="minorHAnsi"/>
                <w:sz w:val="20"/>
                <w:szCs w:val="20"/>
              </w:rPr>
              <w:t xml:space="preserve">% (CI: </w:t>
            </w:r>
            <w:r>
              <w:rPr>
                <w:rFonts w:asciiTheme="minorHAnsi" w:hAnsiTheme="minorHAnsi"/>
                <w:sz w:val="20"/>
                <w:szCs w:val="20"/>
              </w:rPr>
              <w:t>6.6</w:t>
            </w:r>
            <w:r w:rsidRPr="00345E2E">
              <w:rPr>
                <w:rFonts w:asciiTheme="minorHAnsi" w:hAnsiTheme="minorHAnsi"/>
                <w:sz w:val="20"/>
                <w:szCs w:val="20"/>
              </w:rPr>
              <w:t xml:space="preserve">% – </w:t>
            </w:r>
            <w:r>
              <w:rPr>
                <w:rFonts w:asciiTheme="minorHAnsi" w:hAnsiTheme="minorHAnsi"/>
                <w:sz w:val="20"/>
                <w:szCs w:val="20"/>
              </w:rPr>
              <w:t>8.5</w:t>
            </w:r>
            <w:r w:rsidRPr="00345E2E">
              <w:rPr>
                <w:rFonts w:asciiTheme="minorHAnsi" w:hAnsiTheme="minorHAnsi"/>
                <w:sz w:val="20"/>
                <w:szCs w:val="20"/>
              </w:rPr>
              <w:t>%)</w:t>
            </w:r>
          </w:p>
        </w:tc>
      </w:tr>
      <w:tr w:rsidR="00977923" w:rsidRPr="008F671D" w:rsidTr="00952736">
        <w:trPr>
          <w:trHeight w:val="1134"/>
        </w:trPr>
        <w:tc>
          <w:tcPr>
            <w:tcW w:w="3369" w:type="dxa"/>
            <w:shd w:val="clear" w:color="auto" w:fill="D9D9D9" w:themeFill="background1" w:themeFillShade="D9"/>
            <w:vAlign w:val="center"/>
          </w:tcPr>
          <w:p w:rsidR="00977923" w:rsidRPr="008F671D" w:rsidRDefault="00977923" w:rsidP="00FB47D0">
            <w:pPr>
              <w:rPr>
                <w:rFonts w:asciiTheme="minorHAnsi" w:hAnsiTheme="minorHAnsi"/>
                <w:b/>
                <w:sz w:val="20"/>
              </w:rPr>
            </w:pPr>
            <w:r w:rsidRPr="008F671D">
              <w:rPr>
                <w:rFonts w:asciiTheme="minorHAnsi" w:hAnsiTheme="minorHAnsi"/>
                <w:b/>
                <w:sz w:val="20"/>
              </w:rPr>
              <w:t>Please indicate whether UK/</w:t>
            </w:r>
            <w:proofErr w:type="spellStart"/>
            <w:r w:rsidRPr="008F671D">
              <w:rPr>
                <w:rFonts w:asciiTheme="minorHAnsi" w:hAnsiTheme="minorHAnsi"/>
                <w:b/>
                <w:sz w:val="20"/>
              </w:rPr>
              <w:t>R</w:t>
            </w:r>
            <w:r w:rsidR="00FB47D0" w:rsidRPr="008F671D">
              <w:rPr>
                <w:rFonts w:asciiTheme="minorHAnsi" w:hAnsiTheme="minorHAnsi"/>
                <w:b/>
                <w:sz w:val="20"/>
              </w:rPr>
              <w:t>o</w:t>
            </w:r>
            <w:r w:rsidRPr="008F671D">
              <w:rPr>
                <w:rFonts w:asciiTheme="minorHAnsi" w:hAnsiTheme="minorHAnsi"/>
                <w:b/>
                <w:sz w:val="20"/>
              </w:rPr>
              <w:t>I</w:t>
            </w:r>
            <w:proofErr w:type="spellEnd"/>
            <w:r w:rsidRPr="008F671D">
              <w:rPr>
                <w:rFonts w:asciiTheme="minorHAnsi" w:hAnsiTheme="minorHAnsi"/>
                <w:b/>
                <w:sz w:val="20"/>
              </w:rPr>
              <w:t>/International Comparisons are available</w:t>
            </w:r>
            <w:r w:rsidR="00FB47D0" w:rsidRPr="008F671D">
              <w:rPr>
                <w:rFonts w:asciiTheme="minorHAnsi" w:hAnsiTheme="minorHAnsi"/>
                <w:b/>
                <w:sz w:val="20"/>
              </w:rPr>
              <w:t>:</w:t>
            </w:r>
          </w:p>
        </w:tc>
        <w:tc>
          <w:tcPr>
            <w:tcW w:w="7229" w:type="dxa"/>
            <w:gridSpan w:val="2"/>
            <w:vAlign w:val="center"/>
          </w:tcPr>
          <w:p w:rsidR="00812B5F" w:rsidRPr="00345E2E" w:rsidRDefault="00812B5F" w:rsidP="00812B5F">
            <w:pPr>
              <w:rPr>
                <w:rFonts w:asciiTheme="minorHAnsi" w:hAnsiTheme="minorHAnsi"/>
                <w:sz w:val="20"/>
                <w:szCs w:val="20"/>
              </w:rPr>
            </w:pPr>
            <w:r w:rsidRPr="00345E2E">
              <w:rPr>
                <w:rFonts w:asciiTheme="minorHAnsi" w:hAnsiTheme="minorHAnsi"/>
                <w:sz w:val="20"/>
                <w:szCs w:val="20"/>
              </w:rPr>
              <w:t>UK: No UK-wide survey</w:t>
            </w:r>
          </w:p>
          <w:p w:rsidR="000E75A3" w:rsidRDefault="00812B5F" w:rsidP="00812B5F">
            <w:pPr>
              <w:rPr>
                <w:rFonts w:asciiTheme="minorHAnsi" w:hAnsiTheme="minorHAnsi"/>
                <w:sz w:val="20"/>
              </w:rPr>
            </w:pPr>
            <w:r w:rsidRPr="00345E2E">
              <w:rPr>
                <w:rFonts w:asciiTheme="minorHAnsi" w:hAnsiTheme="minorHAnsi"/>
                <w:sz w:val="20"/>
                <w:szCs w:val="20"/>
              </w:rPr>
              <w:t xml:space="preserve">UK Regional: Some England and Wales data from Crime Survey for England and Wales are included in </w:t>
            </w:r>
            <w:proofErr w:type="spellStart"/>
            <w:r>
              <w:rPr>
                <w:rFonts w:asciiTheme="minorHAnsi" w:hAnsiTheme="minorHAnsi"/>
                <w:sz w:val="20"/>
                <w:szCs w:val="20"/>
              </w:rPr>
              <w:t>Do</w:t>
            </w:r>
            <w:r w:rsidRPr="00345E2E">
              <w:rPr>
                <w:rFonts w:asciiTheme="minorHAnsi" w:hAnsiTheme="minorHAnsi"/>
                <w:sz w:val="20"/>
                <w:szCs w:val="20"/>
              </w:rPr>
              <w:t>J</w:t>
            </w:r>
            <w:proofErr w:type="spellEnd"/>
            <w:r w:rsidRPr="00345E2E">
              <w:rPr>
                <w:rFonts w:asciiTheme="minorHAnsi" w:hAnsiTheme="minorHAnsi"/>
                <w:sz w:val="20"/>
                <w:szCs w:val="20"/>
              </w:rPr>
              <w:t xml:space="preserve"> publications. </w:t>
            </w:r>
            <w:r>
              <w:rPr>
                <w:rFonts w:asciiTheme="minorHAnsi" w:hAnsiTheme="minorHAnsi"/>
                <w:sz w:val="20"/>
                <w:szCs w:val="20"/>
              </w:rPr>
              <w:t>Headline figure broadly comparable with Scotland (Scottish Crime and Justice Survey)</w:t>
            </w:r>
          </w:p>
          <w:p w:rsidR="00404AD8" w:rsidRPr="008F671D" w:rsidRDefault="00404AD8" w:rsidP="000E75A3">
            <w:pPr>
              <w:rPr>
                <w:rFonts w:asciiTheme="minorHAnsi" w:hAnsiTheme="minorHAnsi"/>
                <w:sz w:val="20"/>
              </w:rPr>
            </w:pPr>
          </w:p>
        </w:tc>
      </w:tr>
      <w:tr w:rsidR="00977923" w:rsidRPr="008F671D" w:rsidTr="00952736">
        <w:trPr>
          <w:trHeight w:val="1134"/>
        </w:trPr>
        <w:tc>
          <w:tcPr>
            <w:tcW w:w="3369" w:type="dxa"/>
            <w:shd w:val="clear" w:color="auto" w:fill="D9D9D9" w:themeFill="background1" w:themeFillShade="D9"/>
            <w:vAlign w:val="center"/>
          </w:tcPr>
          <w:p w:rsidR="00977923" w:rsidRPr="008F671D" w:rsidRDefault="001668A0" w:rsidP="001849F8">
            <w:pPr>
              <w:rPr>
                <w:rFonts w:asciiTheme="minorHAnsi" w:hAnsiTheme="minorHAnsi"/>
                <w:b/>
                <w:sz w:val="20"/>
              </w:rPr>
            </w:pPr>
            <w:r w:rsidRPr="008F671D">
              <w:rPr>
                <w:rFonts w:asciiTheme="minorHAnsi" w:hAnsiTheme="minorHAnsi"/>
                <w:b/>
                <w:sz w:val="20"/>
              </w:rPr>
              <w:t>Please specify</w:t>
            </w:r>
            <w:r w:rsidR="00977923" w:rsidRPr="008F671D">
              <w:rPr>
                <w:rFonts w:asciiTheme="minorHAnsi" w:hAnsiTheme="minorHAnsi"/>
                <w:b/>
                <w:sz w:val="20"/>
              </w:rPr>
              <w:t xml:space="preserve"> any</w:t>
            </w:r>
            <w:r w:rsidR="001849F8">
              <w:rPr>
                <w:rFonts w:asciiTheme="minorHAnsi" w:hAnsiTheme="minorHAnsi"/>
                <w:b/>
                <w:sz w:val="20"/>
              </w:rPr>
              <w:t xml:space="preserve"> issues </w:t>
            </w:r>
            <w:r w:rsidR="00977923" w:rsidRPr="008F671D">
              <w:rPr>
                <w:rFonts w:asciiTheme="minorHAnsi" w:hAnsiTheme="minorHAnsi"/>
                <w:b/>
                <w:sz w:val="20"/>
              </w:rPr>
              <w:t xml:space="preserve">in relation to </w:t>
            </w:r>
            <w:r w:rsidR="001849F8">
              <w:rPr>
                <w:rFonts w:asciiTheme="minorHAnsi" w:hAnsiTheme="minorHAnsi"/>
                <w:b/>
                <w:sz w:val="20"/>
              </w:rPr>
              <w:t xml:space="preserve">this data. For example, data limitations, future </w:t>
            </w:r>
            <w:r w:rsidR="00977923" w:rsidRPr="008F671D">
              <w:rPr>
                <w:rFonts w:asciiTheme="minorHAnsi" w:hAnsiTheme="minorHAnsi"/>
                <w:b/>
                <w:sz w:val="20"/>
              </w:rPr>
              <w:t>data availability</w:t>
            </w:r>
            <w:r w:rsidR="001849F8">
              <w:rPr>
                <w:rFonts w:asciiTheme="minorHAnsi" w:hAnsiTheme="minorHAnsi"/>
                <w:b/>
                <w:sz w:val="20"/>
              </w:rPr>
              <w:t>, any</w:t>
            </w:r>
            <w:r w:rsidR="00977923" w:rsidRPr="008F671D">
              <w:rPr>
                <w:rFonts w:asciiTheme="minorHAnsi" w:hAnsiTheme="minorHAnsi"/>
                <w:b/>
                <w:sz w:val="20"/>
              </w:rPr>
              <w:t xml:space="preserve"> changes to methodology </w:t>
            </w:r>
          </w:p>
        </w:tc>
        <w:tc>
          <w:tcPr>
            <w:tcW w:w="7229" w:type="dxa"/>
            <w:gridSpan w:val="2"/>
            <w:vAlign w:val="center"/>
          </w:tcPr>
          <w:p w:rsidR="009642E9" w:rsidRPr="00345E2E" w:rsidRDefault="009642E9" w:rsidP="009642E9">
            <w:pPr>
              <w:rPr>
                <w:rFonts w:asciiTheme="minorHAnsi" w:hAnsiTheme="minorHAnsi"/>
                <w:sz w:val="20"/>
                <w:szCs w:val="20"/>
              </w:rPr>
            </w:pPr>
            <w:r w:rsidRPr="00345E2E">
              <w:rPr>
                <w:rFonts w:asciiTheme="minorHAnsi" w:hAnsiTheme="minorHAnsi"/>
                <w:sz w:val="20"/>
                <w:szCs w:val="20"/>
              </w:rPr>
              <w:t>This indicator comprises a mix of crimes against the household and the person.  It is calculated by treating a household crime as a personal crime.  Data covering crimes against the household (e.g. burglary) are unweighted (as each household has an equal chance of selection) whereas data covering personal crime (e.g. violent and personal theft offences) are weighted by household size to prevent a bias towards small household</w:t>
            </w:r>
            <w:r>
              <w:rPr>
                <w:rFonts w:asciiTheme="minorHAnsi" w:hAnsiTheme="minorHAnsi"/>
                <w:sz w:val="20"/>
                <w:szCs w:val="20"/>
              </w:rPr>
              <w:t>s.</w:t>
            </w:r>
          </w:p>
          <w:p w:rsidR="009642E9" w:rsidRPr="00345E2E" w:rsidRDefault="009642E9" w:rsidP="009642E9">
            <w:pPr>
              <w:rPr>
                <w:rFonts w:asciiTheme="minorHAnsi" w:hAnsiTheme="minorHAnsi"/>
                <w:sz w:val="20"/>
                <w:szCs w:val="20"/>
              </w:rPr>
            </w:pPr>
            <w:r w:rsidRPr="00345E2E">
              <w:rPr>
                <w:rFonts w:asciiTheme="minorHAnsi" w:hAnsiTheme="minorHAnsi"/>
                <w:sz w:val="20"/>
                <w:szCs w:val="20"/>
              </w:rPr>
              <w:lastRenderedPageBreak/>
              <w:t>The NI</w:t>
            </w:r>
            <w:r>
              <w:rPr>
                <w:rFonts w:asciiTheme="minorHAnsi" w:hAnsiTheme="minorHAnsi"/>
                <w:sz w:val="20"/>
                <w:szCs w:val="20"/>
              </w:rPr>
              <w:t>S</w:t>
            </w:r>
            <w:r w:rsidRPr="00345E2E">
              <w:rPr>
                <w:rFonts w:asciiTheme="minorHAnsi" w:hAnsiTheme="minorHAnsi"/>
                <w:sz w:val="20"/>
                <w:szCs w:val="20"/>
              </w:rPr>
              <w:t>CS is also subject to sampling and non-sampling errors.  Examples of non-sampling errors are presented in the Quality Report (</w:t>
            </w:r>
            <w:hyperlink r:id="rId10" w:history="1">
              <w:r w:rsidRPr="00345E2E">
                <w:rPr>
                  <w:rStyle w:val="Hyperlink"/>
                  <w:rFonts w:asciiTheme="minorHAnsi" w:hAnsiTheme="minorHAnsi"/>
                  <w:sz w:val="20"/>
                  <w:szCs w:val="20"/>
                </w:rPr>
                <w:t>https://www.justice-ni.gov.uk/publications/northern-ireland-crime-survey-quality-report</w:t>
              </w:r>
            </w:hyperlink>
            <w:r w:rsidRPr="00345E2E">
              <w:rPr>
                <w:rFonts w:asciiTheme="minorHAnsi" w:hAnsiTheme="minorHAnsi"/>
                <w:sz w:val="20"/>
                <w:szCs w:val="20"/>
              </w:rPr>
              <w:t xml:space="preserve">).  </w:t>
            </w:r>
          </w:p>
          <w:p w:rsidR="009642E9" w:rsidRDefault="009642E9" w:rsidP="009642E9">
            <w:pPr>
              <w:rPr>
                <w:rFonts w:asciiTheme="minorHAnsi" w:hAnsiTheme="minorHAnsi"/>
                <w:sz w:val="20"/>
                <w:szCs w:val="20"/>
              </w:rPr>
            </w:pPr>
          </w:p>
          <w:p w:rsidR="009642E9" w:rsidRDefault="009642E9" w:rsidP="009642E9">
            <w:pPr>
              <w:rPr>
                <w:rFonts w:asciiTheme="minorHAnsi" w:hAnsiTheme="minorHAnsi"/>
                <w:sz w:val="20"/>
                <w:szCs w:val="20"/>
              </w:rPr>
            </w:pPr>
            <w:r w:rsidRPr="00345E2E">
              <w:rPr>
                <w:rFonts w:asciiTheme="minorHAnsi" w:hAnsiTheme="minorHAnsi"/>
                <w:sz w:val="20"/>
                <w:szCs w:val="20"/>
              </w:rPr>
              <w:t xml:space="preserve">Previously conducted on an ad hoc basis in 1994/95, 1998, 2001 and 2003/04, the </w:t>
            </w:r>
            <w:r>
              <w:rPr>
                <w:rFonts w:asciiTheme="minorHAnsi" w:hAnsiTheme="minorHAnsi"/>
                <w:sz w:val="20"/>
                <w:szCs w:val="20"/>
              </w:rPr>
              <w:t>survey</w:t>
            </w:r>
            <w:r w:rsidRPr="00345E2E">
              <w:rPr>
                <w:rFonts w:asciiTheme="minorHAnsi" w:hAnsiTheme="minorHAnsi"/>
                <w:sz w:val="20"/>
                <w:szCs w:val="20"/>
              </w:rPr>
              <w:t xml:space="preserve"> began operating on a continuous basis in January 2005.  From 2006/07 results are based on the financial year interviews.  In contrast to 1998 and 2001, when ‘fixed’ 12-month recall periods for crime incidents were deployed, respondents to </w:t>
            </w:r>
            <w:r>
              <w:rPr>
                <w:rFonts w:asciiTheme="minorHAnsi" w:hAnsiTheme="minorHAnsi"/>
                <w:sz w:val="20"/>
                <w:szCs w:val="20"/>
              </w:rPr>
              <w:t xml:space="preserve">the survey from </w:t>
            </w:r>
            <w:r w:rsidRPr="00345E2E">
              <w:rPr>
                <w:rFonts w:asciiTheme="minorHAnsi" w:hAnsiTheme="minorHAnsi"/>
                <w:sz w:val="20"/>
                <w:szCs w:val="20"/>
              </w:rPr>
              <w:t>2003/04 onwards have been asked to recall all relevant incidents in the 12 full calendar months prior to the month of interview.</w:t>
            </w:r>
          </w:p>
          <w:p w:rsidR="009642E9" w:rsidRDefault="009642E9" w:rsidP="009642E9">
            <w:pPr>
              <w:rPr>
                <w:rFonts w:asciiTheme="minorHAnsi" w:hAnsiTheme="minorHAnsi"/>
                <w:sz w:val="20"/>
                <w:szCs w:val="20"/>
              </w:rPr>
            </w:pPr>
          </w:p>
          <w:p w:rsidR="005E386D" w:rsidRPr="008F671D" w:rsidRDefault="009642E9" w:rsidP="00BD2676">
            <w:pPr>
              <w:rPr>
                <w:rFonts w:asciiTheme="minorHAnsi" w:hAnsiTheme="minorHAnsi"/>
                <w:sz w:val="20"/>
              </w:rPr>
            </w:pPr>
            <w:r>
              <w:rPr>
                <w:rFonts w:asciiTheme="minorHAnsi" w:hAnsiTheme="minorHAnsi"/>
                <w:sz w:val="20"/>
                <w:szCs w:val="20"/>
              </w:rPr>
              <w:t>In recent</w:t>
            </w:r>
            <w:r w:rsidRPr="00345E2E">
              <w:rPr>
                <w:rFonts w:asciiTheme="minorHAnsi" w:hAnsiTheme="minorHAnsi"/>
                <w:sz w:val="20"/>
                <w:szCs w:val="20"/>
              </w:rPr>
              <w:t xml:space="preserve"> years the target sample size ha</w:t>
            </w:r>
            <w:r>
              <w:rPr>
                <w:rFonts w:asciiTheme="minorHAnsi" w:hAnsiTheme="minorHAnsi"/>
                <w:sz w:val="20"/>
                <w:szCs w:val="20"/>
              </w:rPr>
              <w:t>d</w:t>
            </w:r>
            <w:r w:rsidRPr="00345E2E">
              <w:rPr>
                <w:rFonts w:asciiTheme="minorHAnsi" w:hAnsiTheme="minorHAnsi"/>
                <w:sz w:val="20"/>
                <w:szCs w:val="20"/>
              </w:rPr>
              <w:t xml:space="preserve"> been reduced</w:t>
            </w:r>
            <w:r>
              <w:rPr>
                <w:rFonts w:asciiTheme="minorHAnsi" w:hAnsiTheme="minorHAnsi"/>
                <w:sz w:val="20"/>
                <w:szCs w:val="20"/>
              </w:rPr>
              <w:t xml:space="preserve">.  Previously </w:t>
            </w:r>
            <w:r w:rsidRPr="00345E2E">
              <w:rPr>
                <w:rFonts w:asciiTheme="minorHAnsi" w:hAnsiTheme="minorHAnsi"/>
                <w:sz w:val="20"/>
                <w:szCs w:val="20"/>
              </w:rPr>
              <w:t>4,000 interviews annually</w:t>
            </w:r>
            <w:r>
              <w:rPr>
                <w:rFonts w:asciiTheme="minorHAnsi" w:hAnsiTheme="minorHAnsi"/>
                <w:sz w:val="20"/>
                <w:szCs w:val="20"/>
              </w:rPr>
              <w:t>,</w:t>
            </w:r>
            <w:r w:rsidRPr="00345E2E">
              <w:rPr>
                <w:rFonts w:asciiTheme="minorHAnsi" w:hAnsiTheme="minorHAnsi"/>
                <w:sz w:val="20"/>
                <w:szCs w:val="20"/>
              </w:rPr>
              <w:t xml:space="preserve"> </w:t>
            </w:r>
            <w:r>
              <w:rPr>
                <w:rFonts w:asciiTheme="minorHAnsi" w:hAnsiTheme="minorHAnsi"/>
                <w:sz w:val="20"/>
                <w:szCs w:val="20"/>
              </w:rPr>
              <w:t>a</w:t>
            </w:r>
            <w:r w:rsidRPr="00345E2E">
              <w:rPr>
                <w:rFonts w:asciiTheme="minorHAnsi" w:hAnsiTheme="minorHAnsi"/>
                <w:sz w:val="20"/>
                <w:szCs w:val="20"/>
              </w:rPr>
              <w:t xml:space="preserve"> moderate decrease to the sample size was first made in-year 2013/14, from 4,000 to 3,500, with the full sample reduction to 2,000 first being implemented in 2014/15.  This means results (or estimates) drawn from the survey will be less accurate with greater standard errors and targets may prove to be more difficult to achieve (than previously was the case) requiring a greater percentage point change to be statistically significant; some demographic groups </w:t>
            </w:r>
            <w:r w:rsidR="00BD2676">
              <w:rPr>
                <w:rFonts w:asciiTheme="minorHAnsi" w:hAnsiTheme="minorHAnsi"/>
                <w:sz w:val="20"/>
                <w:szCs w:val="20"/>
              </w:rPr>
              <w:t>were</w:t>
            </w:r>
            <w:r w:rsidRPr="00345E2E">
              <w:rPr>
                <w:rFonts w:asciiTheme="minorHAnsi" w:hAnsiTheme="minorHAnsi"/>
                <w:sz w:val="20"/>
                <w:szCs w:val="20"/>
              </w:rPr>
              <w:t xml:space="preserve"> lost due to small numbers within these categories; and sub-sample analyses </w:t>
            </w:r>
            <w:r w:rsidR="00BD2676">
              <w:rPr>
                <w:rFonts w:asciiTheme="minorHAnsi" w:hAnsiTheme="minorHAnsi"/>
                <w:sz w:val="20"/>
                <w:szCs w:val="20"/>
              </w:rPr>
              <w:t>were</w:t>
            </w:r>
            <w:r w:rsidRPr="00345E2E">
              <w:rPr>
                <w:rFonts w:asciiTheme="minorHAnsi" w:hAnsiTheme="minorHAnsi"/>
                <w:sz w:val="20"/>
                <w:szCs w:val="20"/>
              </w:rPr>
              <w:t xml:space="preserve"> restricted.</w:t>
            </w:r>
            <w:r>
              <w:rPr>
                <w:rFonts w:asciiTheme="minorHAnsi" w:hAnsiTheme="minorHAnsi"/>
                <w:sz w:val="20"/>
                <w:szCs w:val="20"/>
              </w:rPr>
              <w:t xml:space="preserve"> The sample size has since been increased again from 2018/19 onwards.  It is anticipated that approximately 3,500 interviews will be achieved annually.</w:t>
            </w:r>
          </w:p>
        </w:tc>
      </w:tr>
      <w:tr w:rsidR="00A85CFB" w:rsidRPr="008F671D" w:rsidTr="008F671D">
        <w:trPr>
          <w:trHeight w:val="340"/>
        </w:trPr>
        <w:tc>
          <w:tcPr>
            <w:tcW w:w="9180" w:type="dxa"/>
            <w:gridSpan w:val="2"/>
            <w:shd w:val="clear" w:color="auto" w:fill="D9D9D9" w:themeFill="background1" w:themeFillShade="D9"/>
            <w:vAlign w:val="center"/>
          </w:tcPr>
          <w:p w:rsidR="00A85CFB" w:rsidRPr="00907690" w:rsidRDefault="00A85CFB" w:rsidP="00C06DF4">
            <w:pPr>
              <w:rPr>
                <w:rFonts w:asciiTheme="minorHAnsi" w:hAnsiTheme="minorHAnsi"/>
                <w:b/>
                <w:sz w:val="20"/>
                <w:szCs w:val="20"/>
              </w:rPr>
            </w:pPr>
            <w:r w:rsidRPr="00907690">
              <w:rPr>
                <w:rFonts w:asciiTheme="minorHAnsi" w:hAnsiTheme="minorHAnsi"/>
                <w:b/>
                <w:sz w:val="20"/>
                <w:szCs w:val="20"/>
              </w:rPr>
              <w:lastRenderedPageBreak/>
              <w:t>Is this measure being used to monitor performance against your current/latest Departmental/ Agency Plan</w:t>
            </w:r>
          </w:p>
        </w:tc>
        <w:tc>
          <w:tcPr>
            <w:tcW w:w="1418" w:type="dxa"/>
          </w:tcPr>
          <w:p w:rsidR="00A85CFB" w:rsidRPr="008F671D" w:rsidRDefault="00EE01FA" w:rsidP="00952736">
            <w:pPr>
              <w:rPr>
                <w:rFonts w:asciiTheme="minorHAnsi" w:hAnsiTheme="minorHAnsi"/>
                <w:sz w:val="20"/>
              </w:rPr>
            </w:pPr>
            <w:r>
              <w:rPr>
                <w:rFonts w:asciiTheme="minorHAnsi" w:hAnsiTheme="minorHAnsi"/>
                <w:sz w:val="20"/>
                <w:szCs w:val="20"/>
              </w:rPr>
              <w:t>Outcomes Delivery Plan</w:t>
            </w:r>
          </w:p>
        </w:tc>
      </w:tr>
      <w:tr w:rsidR="00A85CFB" w:rsidRPr="008F671D" w:rsidTr="00FB47D0">
        <w:tc>
          <w:tcPr>
            <w:tcW w:w="9180" w:type="dxa"/>
            <w:gridSpan w:val="2"/>
            <w:shd w:val="clear" w:color="auto" w:fill="D9D9D9" w:themeFill="background1" w:themeFillShade="D9"/>
            <w:vAlign w:val="center"/>
          </w:tcPr>
          <w:p w:rsidR="00A85CFB" w:rsidRPr="00907690" w:rsidRDefault="00A85CFB" w:rsidP="00C06DF4">
            <w:pPr>
              <w:rPr>
                <w:rFonts w:asciiTheme="minorHAnsi" w:hAnsiTheme="minorHAnsi"/>
                <w:b/>
                <w:sz w:val="20"/>
                <w:szCs w:val="20"/>
              </w:rPr>
            </w:pPr>
            <w:r w:rsidRPr="00907690">
              <w:rPr>
                <w:rFonts w:asciiTheme="minorHAnsi" w:hAnsiTheme="minorHAnsi"/>
                <w:b/>
                <w:sz w:val="20"/>
                <w:szCs w:val="20"/>
              </w:rPr>
              <w:t>If yes, please specify any particular baseline point/year for the measure which is being for performance monitoring purposes</w:t>
            </w:r>
          </w:p>
        </w:tc>
        <w:tc>
          <w:tcPr>
            <w:tcW w:w="1418" w:type="dxa"/>
          </w:tcPr>
          <w:p w:rsidR="00A85CFB" w:rsidRPr="008F671D" w:rsidRDefault="00EE01FA" w:rsidP="003E6FDF">
            <w:pPr>
              <w:rPr>
                <w:rFonts w:asciiTheme="minorHAnsi" w:hAnsiTheme="minorHAnsi"/>
                <w:sz w:val="20"/>
              </w:rPr>
            </w:pPr>
            <w:r>
              <w:rPr>
                <w:rFonts w:asciiTheme="minorHAnsi" w:hAnsiTheme="minorHAnsi"/>
                <w:sz w:val="20"/>
              </w:rPr>
              <w:t>N/A</w:t>
            </w:r>
          </w:p>
        </w:tc>
      </w:tr>
    </w:tbl>
    <w:p w:rsidR="005B441A" w:rsidRDefault="005B441A" w:rsidP="005B441A">
      <w:pPr>
        <w:rPr>
          <w:rFonts w:asciiTheme="minorHAnsi" w:hAnsiTheme="minorHAnsi"/>
          <w:sz w:val="20"/>
          <w:szCs w:val="20"/>
        </w:rPr>
      </w:pPr>
    </w:p>
    <w:tbl>
      <w:tblPr>
        <w:tblStyle w:val="TableGrid1"/>
        <w:tblW w:w="10632" w:type="dxa"/>
        <w:tblInd w:w="-5" w:type="dxa"/>
        <w:tblLayout w:type="fixed"/>
        <w:tblLook w:val="04A0" w:firstRow="1" w:lastRow="0" w:firstColumn="1" w:lastColumn="0" w:noHBand="0" w:noVBand="1"/>
      </w:tblPr>
      <w:tblGrid>
        <w:gridCol w:w="3402"/>
        <w:gridCol w:w="7230"/>
      </w:tblGrid>
      <w:tr w:rsidR="005B441A" w:rsidRPr="00DC13FC" w:rsidTr="005B441A">
        <w:tc>
          <w:tcPr>
            <w:tcW w:w="3402" w:type="dxa"/>
            <w:shd w:val="clear" w:color="auto" w:fill="D9D9D9" w:themeFill="background1" w:themeFillShade="D9"/>
          </w:tcPr>
          <w:p w:rsidR="005B441A" w:rsidRPr="00DC13FC" w:rsidRDefault="005B441A" w:rsidP="00F945FE">
            <w:pPr>
              <w:rPr>
                <w:rFonts w:asciiTheme="minorHAnsi" w:hAnsiTheme="minorHAnsi"/>
                <w:b/>
                <w:sz w:val="20"/>
                <w:szCs w:val="20"/>
              </w:rPr>
            </w:pPr>
            <w:r w:rsidRPr="00DC13FC">
              <w:rPr>
                <w:rFonts w:asciiTheme="minorHAnsi" w:hAnsiTheme="minorHAnsi"/>
                <w:b/>
                <w:sz w:val="20"/>
                <w:szCs w:val="20"/>
              </w:rPr>
              <w:t>Technical Assessment Panel</w:t>
            </w:r>
          </w:p>
        </w:tc>
        <w:tc>
          <w:tcPr>
            <w:tcW w:w="7230" w:type="dxa"/>
          </w:tcPr>
          <w:p w:rsidR="005B441A" w:rsidRPr="00DC13FC" w:rsidRDefault="005B441A" w:rsidP="00F945FE">
            <w:pPr>
              <w:rPr>
                <w:rFonts w:asciiTheme="minorHAnsi" w:hAnsiTheme="minorHAnsi"/>
                <w:sz w:val="20"/>
                <w:szCs w:val="20"/>
              </w:rPr>
            </w:pPr>
          </w:p>
        </w:tc>
      </w:tr>
      <w:tr w:rsidR="005B441A" w:rsidRPr="00DC13FC" w:rsidTr="005B441A">
        <w:tc>
          <w:tcPr>
            <w:tcW w:w="3402" w:type="dxa"/>
            <w:shd w:val="clear" w:color="auto" w:fill="D9D9D9" w:themeFill="background1" w:themeFillShade="D9"/>
          </w:tcPr>
          <w:p w:rsidR="005B441A" w:rsidRPr="00DC13FC" w:rsidRDefault="005B441A" w:rsidP="00F945FE">
            <w:pPr>
              <w:rPr>
                <w:rFonts w:asciiTheme="minorHAnsi" w:hAnsiTheme="minorHAnsi"/>
                <w:b/>
                <w:sz w:val="20"/>
                <w:szCs w:val="20"/>
              </w:rPr>
            </w:pPr>
            <w:r w:rsidRPr="00DC13FC">
              <w:rPr>
                <w:rFonts w:asciiTheme="minorHAnsi" w:hAnsiTheme="minorHAnsi"/>
                <w:b/>
                <w:sz w:val="20"/>
                <w:szCs w:val="20"/>
              </w:rPr>
              <w:t>Baseline Year</w:t>
            </w:r>
          </w:p>
        </w:tc>
        <w:tc>
          <w:tcPr>
            <w:tcW w:w="7230" w:type="dxa"/>
          </w:tcPr>
          <w:p w:rsidR="005B441A" w:rsidRPr="00DC13FC" w:rsidRDefault="00EE01FA" w:rsidP="00F945FE">
            <w:pPr>
              <w:rPr>
                <w:rFonts w:asciiTheme="minorHAnsi" w:hAnsiTheme="minorHAnsi"/>
                <w:sz w:val="20"/>
                <w:szCs w:val="20"/>
              </w:rPr>
            </w:pPr>
            <w:r>
              <w:rPr>
                <w:rFonts w:asciiTheme="minorHAnsi" w:hAnsiTheme="minorHAnsi"/>
                <w:sz w:val="20"/>
                <w:szCs w:val="20"/>
              </w:rPr>
              <w:t>2014/15</w:t>
            </w:r>
          </w:p>
        </w:tc>
      </w:tr>
      <w:tr w:rsidR="005B441A" w:rsidRPr="00DC13FC" w:rsidTr="005B441A">
        <w:trPr>
          <w:trHeight w:val="496"/>
        </w:trPr>
        <w:tc>
          <w:tcPr>
            <w:tcW w:w="3402" w:type="dxa"/>
            <w:shd w:val="clear" w:color="auto" w:fill="D9D9D9" w:themeFill="background1" w:themeFillShade="D9"/>
          </w:tcPr>
          <w:p w:rsidR="005B441A" w:rsidRPr="00DC13FC" w:rsidRDefault="005B441A" w:rsidP="00F945FE">
            <w:pPr>
              <w:rPr>
                <w:rFonts w:asciiTheme="minorHAnsi" w:hAnsiTheme="minorHAnsi"/>
                <w:b/>
                <w:sz w:val="20"/>
                <w:szCs w:val="20"/>
              </w:rPr>
            </w:pPr>
            <w:r w:rsidRPr="00DC13FC">
              <w:rPr>
                <w:rFonts w:asciiTheme="minorHAnsi" w:hAnsiTheme="minorHAnsi"/>
                <w:b/>
                <w:sz w:val="20"/>
                <w:szCs w:val="20"/>
              </w:rPr>
              <w:t>Criteria for reporting change from the baseline</w:t>
            </w:r>
          </w:p>
        </w:tc>
        <w:tc>
          <w:tcPr>
            <w:tcW w:w="7230" w:type="dxa"/>
          </w:tcPr>
          <w:p w:rsidR="005B441A" w:rsidRPr="00DC13FC" w:rsidRDefault="00EE01FA" w:rsidP="003C4441">
            <w:pPr>
              <w:rPr>
                <w:rFonts w:asciiTheme="minorHAnsi" w:hAnsiTheme="minorHAnsi"/>
                <w:sz w:val="20"/>
                <w:szCs w:val="20"/>
              </w:rPr>
            </w:pPr>
            <w:r w:rsidRPr="00EE01FA">
              <w:rPr>
                <w:rFonts w:asciiTheme="minorHAnsi" w:hAnsiTheme="minorHAnsi"/>
                <w:sz w:val="20"/>
                <w:szCs w:val="20"/>
              </w:rPr>
              <w:t xml:space="preserve">A statistically significant change (currently estimated as +/- 2 </w:t>
            </w:r>
            <w:proofErr w:type="spellStart"/>
            <w:r w:rsidRPr="00EE01FA">
              <w:rPr>
                <w:rFonts w:asciiTheme="minorHAnsi" w:hAnsiTheme="minorHAnsi"/>
                <w:sz w:val="20"/>
                <w:szCs w:val="20"/>
              </w:rPr>
              <w:t>pps</w:t>
            </w:r>
            <w:proofErr w:type="spellEnd"/>
            <w:r w:rsidRPr="00EE01FA">
              <w:rPr>
                <w:rFonts w:asciiTheme="minorHAnsi" w:hAnsiTheme="minorHAnsi"/>
                <w:sz w:val="20"/>
                <w:szCs w:val="20"/>
              </w:rPr>
              <w:t>)</w:t>
            </w:r>
            <w:r w:rsidRPr="00FA03AA">
              <w:rPr>
                <w:color w:val="000000"/>
                <w:szCs w:val="22"/>
              </w:rPr>
              <w:t xml:space="preserve">  </w:t>
            </w:r>
          </w:p>
        </w:tc>
      </w:tr>
    </w:tbl>
    <w:p w:rsidR="005B441A" w:rsidRPr="008F671D" w:rsidRDefault="005B441A">
      <w:pPr>
        <w:rPr>
          <w:rFonts w:asciiTheme="minorHAnsi" w:hAnsiTheme="minorHAnsi"/>
        </w:rPr>
      </w:pPr>
    </w:p>
    <w:tbl>
      <w:tblPr>
        <w:tblStyle w:val="TableGrid"/>
        <w:tblW w:w="9658" w:type="dxa"/>
        <w:tblLook w:val="04A0" w:firstRow="1" w:lastRow="0" w:firstColumn="1" w:lastColumn="0" w:noHBand="0" w:noVBand="1"/>
      </w:tblPr>
      <w:tblGrid>
        <w:gridCol w:w="4219"/>
        <w:gridCol w:w="903"/>
        <w:gridCol w:w="4536"/>
      </w:tblGrid>
      <w:tr w:rsidR="00BD4124" w:rsidRPr="008F671D" w:rsidTr="00823C0A">
        <w:trPr>
          <w:trHeight w:val="454"/>
        </w:trPr>
        <w:tc>
          <w:tcPr>
            <w:tcW w:w="4219" w:type="dxa"/>
            <w:tcBorders>
              <w:top w:val="nil"/>
              <w:left w:val="nil"/>
            </w:tcBorders>
            <w:shd w:val="clear" w:color="auto" w:fill="auto"/>
            <w:vAlign w:val="center"/>
          </w:tcPr>
          <w:p w:rsidR="00BD4124" w:rsidRPr="008F671D" w:rsidRDefault="00823C0A" w:rsidP="00FB47D0">
            <w:pPr>
              <w:rPr>
                <w:rFonts w:asciiTheme="minorHAnsi" w:hAnsiTheme="minorHAnsi"/>
                <w:b/>
                <w:sz w:val="20"/>
              </w:rPr>
            </w:pPr>
            <w:r>
              <w:rPr>
                <w:rFonts w:asciiTheme="minorHAnsi" w:hAnsiTheme="minorHAnsi"/>
                <w:b/>
                <w:sz w:val="20"/>
                <w:szCs w:val="20"/>
              </w:rPr>
              <w:t>Available groupings*</w:t>
            </w:r>
          </w:p>
        </w:tc>
        <w:tc>
          <w:tcPr>
            <w:tcW w:w="903" w:type="dxa"/>
            <w:vAlign w:val="center"/>
          </w:tcPr>
          <w:p w:rsidR="00BD4124" w:rsidRPr="00F81E8B" w:rsidRDefault="00BD4124" w:rsidP="00F81E8B">
            <w:pPr>
              <w:rPr>
                <w:rFonts w:asciiTheme="minorHAnsi" w:hAnsiTheme="minorHAnsi"/>
                <w:b/>
                <w:sz w:val="20"/>
              </w:rPr>
            </w:pPr>
            <w:r w:rsidRPr="00F81E8B">
              <w:rPr>
                <w:rFonts w:asciiTheme="minorHAnsi" w:hAnsiTheme="minorHAnsi"/>
                <w:b/>
                <w:sz w:val="20"/>
              </w:rPr>
              <w:t>Yes/No</w:t>
            </w:r>
          </w:p>
        </w:tc>
        <w:tc>
          <w:tcPr>
            <w:tcW w:w="4536" w:type="dxa"/>
            <w:vAlign w:val="center"/>
          </w:tcPr>
          <w:p w:rsidR="00BD4124" w:rsidRPr="00F81E8B" w:rsidRDefault="00BD4124" w:rsidP="00F81E8B">
            <w:pPr>
              <w:rPr>
                <w:rFonts w:asciiTheme="minorHAnsi" w:hAnsiTheme="minorHAnsi"/>
                <w:b/>
                <w:sz w:val="20"/>
              </w:rPr>
            </w:pPr>
            <w:r w:rsidRPr="00F81E8B">
              <w:rPr>
                <w:rFonts w:asciiTheme="minorHAnsi" w:hAnsiTheme="minorHAnsi"/>
                <w:b/>
                <w:sz w:val="20"/>
              </w:rPr>
              <w:t>Notes</w:t>
            </w: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 xml:space="preserve"> NI Level</w:t>
            </w:r>
          </w:p>
        </w:tc>
        <w:tc>
          <w:tcPr>
            <w:tcW w:w="903" w:type="dxa"/>
            <w:vAlign w:val="center"/>
          </w:tcPr>
          <w:p w:rsidR="00A85CFB" w:rsidRPr="008F671D" w:rsidRDefault="00EE01FA" w:rsidP="00823C0A">
            <w:pPr>
              <w:rPr>
                <w:rFonts w:asciiTheme="minorHAnsi" w:hAnsiTheme="minorHAnsi"/>
                <w:sz w:val="20"/>
              </w:rPr>
            </w:pPr>
            <w:r>
              <w:rPr>
                <w:rFonts w:asciiTheme="minorHAnsi" w:hAnsiTheme="minorHAnsi"/>
                <w:sz w:val="20"/>
              </w:rPr>
              <w:t>Yes</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Parliamentary Constituency level</w:t>
            </w:r>
          </w:p>
        </w:tc>
        <w:tc>
          <w:tcPr>
            <w:tcW w:w="903" w:type="dxa"/>
            <w:vAlign w:val="center"/>
          </w:tcPr>
          <w:p w:rsidR="00A85CFB" w:rsidRPr="008F671D" w:rsidRDefault="00EE01FA" w:rsidP="00823C0A">
            <w:pPr>
              <w:rPr>
                <w:rFonts w:asciiTheme="minorHAnsi" w:hAnsiTheme="minorHAnsi"/>
                <w:sz w:val="20"/>
              </w:rPr>
            </w:pPr>
            <w:r>
              <w:rPr>
                <w:rFonts w:asciiTheme="minorHAnsi" w:hAnsiTheme="minorHAnsi"/>
                <w:sz w:val="20"/>
              </w:rPr>
              <w:t>Yes</w:t>
            </w:r>
          </w:p>
        </w:tc>
        <w:tc>
          <w:tcPr>
            <w:tcW w:w="4536" w:type="dxa"/>
            <w:vAlign w:val="center"/>
          </w:tcPr>
          <w:p w:rsidR="00A85CFB" w:rsidRPr="008F671D" w:rsidRDefault="00EE01FA" w:rsidP="00823C0A">
            <w:pPr>
              <w:rPr>
                <w:rFonts w:asciiTheme="minorHAnsi" w:hAnsiTheme="minorHAnsi"/>
                <w:sz w:val="20"/>
              </w:rPr>
            </w:pPr>
            <w:r>
              <w:rPr>
                <w:rFonts w:asciiTheme="minorHAnsi" w:hAnsiTheme="minorHAnsi"/>
                <w:sz w:val="20"/>
              </w:rPr>
              <w:t>From 2018/19</w:t>
            </w: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Pr>
                <w:rFonts w:asciiTheme="minorHAnsi" w:hAnsiTheme="minorHAnsi"/>
                <w:b/>
                <w:sz w:val="20"/>
                <w:szCs w:val="20"/>
              </w:rPr>
              <w:t>Local Government District (2014) level</w:t>
            </w:r>
          </w:p>
        </w:tc>
        <w:tc>
          <w:tcPr>
            <w:tcW w:w="903" w:type="dxa"/>
            <w:vAlign w:val="center"/>
          </w:tcPr>
          <w:p w:rsidR="00A85CFB" w:rsidRPr="008F671D" w:rsidRDefault="00EE01FA" w:rsidP="00823C0A">
            <w:pPr>
              <w:rPr>
                <w:rFonts w:asciiTheme="minorHAnsi" w:hAnsiTheme="minorHAnsi"/>
                <w:sz w:val="20"/>
              </w:rPr>
            </w:pPr>
            <w:r>
              <w:rPr>
                <w:rFonts w:asciiTheme="minorHAnsi" w:hAnsiTheme="minorHAnsi"/>
                <w:sz w:val="20"/>
              </w:rPr>
              <w:t>Yes</w:t>
            </w:r>
          </w:p>
        </w:tc>
        <w:tc>
          <w:tcPr>
            <w:tcW w:w="4536" w:type="dxa"/>
            <w:vAlign w:val="center"/>
          </w:tcPr>
          <w:p w:rsidR="00A85CFB" w:rsidRPr="008F671D" w:rsidRDefault="00EE01FA" w:rsidP="00823C0A">
            <w:pPr>
              <w:rPr>
                <w:rFonts w:asciiTheme="minorHAnsi" w:hAnsiTheme="minorHAnsi"/>
                <w:sz w:val="20"/>
              </w:rPr>
            </w:pPr>
            <w:r>
              <w:rPr>
                <w:rFonts w:asciiTheme="minorHAnsi" w:hAnsiTheme="minorHAnsi"/>
                <w:sz w:val="20"/>
              </w:rPr>
              <w:t>From 2014/15</w:t>
            </w: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Deprivation Quintile</w:t>
            </w:r>
          </w:p>
        </w:tc>
        <w:tc>
          <w:tcPr>
            <w:tcW w:w="903" w:type="dxa"/>
            <w:vAlign w:val="center"/>
          </w:tcPr>
          <w:p w:rsidR="00A85CFB" w:rsidRPr="008F671D" w:rsidRDefault="00EE01FA" w:rsidP="00823C0A">
            <w:pPr>
              <w:rPr>
                <w:rFonts w:asciiTheme="minorHAnsi" w:hAnsiTheme="minorHAnsi"/>
                <w:sz w:val="20"/>
              </w:rPr>
            </w:pPr>
            <w:r>
              <w:rPr>
                <w:rFonts w:asciiTheme="minorHAnsi" w:hAnsiTheme="minorHAnsi"/>
                <w:sz w:val="20"/>
              </w:rPr>
              <w:t>Yes</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 xml:space="preserve">NISRA Geography Urban/Rural Measure </w:t>
            </w:r>
          </w:p>
        </w:tc>
        <w:tc>
          <w:tcPr>
            <w:tcW w:w="903" w:type="dxa"/>
            <w:vAlign w:val="center"/>
          </w:tcPr>
          <w:p w:rsidR="00A85CFB" w:rsidRPr="008F671D" w:rsidRDefault="00EE01FA" w:rsidP="00823C0A">
            <w:pPr>
              <w:rPr>
                <w:rFonts w:asciiTheme="minorHAnsi" w:hAnsiTheme="minorHAnsi"/>
                <w:sz w:val="20"/>
              </w:rPr>
            </w:pPr>
            <w:r>
              <w:rPr>
                <w:rFonts w:asciiTheme="minorHAnsi" w:hAnsiTheme="minorHAnsi"/>
                <w:sz w:val="20"/>
              </w:rPr>
              <w:t>Yes</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Gender</w:t>
            </w:r>
          </w:p>
        </w:tc>
        <w:tc>
          <w:tcPr>
            <w:tcW w:w="903" w:type="dxa"/>
            <w:vAlign w:val="center"/>
          </w:tcPr>
          <w:p w:rsidR="00A85CFB" w:rsidRPr="008F671D" w:rsidRDefault="00EE01FA" w:rsidP="00823C0A">
            <w:pPr>
              <w:rPr>
                <w:rFonts w:asciiTheme="minorHAnsi" w:hAnsiTheme="minorHAnsi"/>
                <w:sz w:val="20"/>
              </w:rPr>
            </w:pPr>
            <w:r>
              <w:rPr>
                <w:rFonts w:asciiTheme="minorHAnsi" w:hAnsiTheme="minorHAnsi"/>
                <w:sz w:val="20"/>
              </w:rPr>
              <w:t>Yes</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Age</w:t>
            </w:r>
          </w:p>
        </w:tc>
        <w:tc>
          <w:tcPr>
            <w:tcW w:w="903" w:type="dxa"/>
            <w:vAlign w:val="center"/>
          </w:tcPr>
          <w:p w:rsidR="00A85CFB" w:rsidRPr="008F671D" w:rsidRDefault="00EE01FA" w:rsidP="00823C0A">
            <w:pPr>
              <w:rPr>
                <w:rFonts w:asciiTheme="minorHAnsi" w:hAnsiTheme="minorHAnsi"/>
                <w:sz w:val="20"/>
              </w:rPr>
            </w:pPr>
            <w:r>
              <w:rPr>
                <w:rFonts w:asciiTheme="minorHAnsi" w:hAnsiTheme="minorHAnsi"/>
                <w:sz w:val="20"/>
              </w:rPr>
              <w:t>Yes</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Marital Status</w:t>
            </w:r>
          </w:p>
        </w:tc>
        <w:tc>
          <w:tcPr>
            <w:tcW w:w="903" w:type="dxa"/>
            <w:vAlign w:val="center"/>
          </w:tcPr>
          <w:p w:rsidR="00A85CFB" w:rsidRPr="008F671D" w:rsidRDefault="00EE01FA" w:rsidP="00823C0A">
            <w:pPr>
              <w:rPr>
                <w:rFonts w:asciiTheme="minorHAnsi" w:hAnsiTheme="minorHAnsi"/>
                <w:sz w:val="20"/>
              </w:rPr>
            </w:pPr>
            <w:r>
              <w:rPr>
                <w:rFonts w:asciiTheme="minorHAnsi" w:hAnsiTheme="minorHAnsi"/>
                <w:sz w:val="20"/>
              </w:rPr>
              <w:t>Yes</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Religion</w:t>
            </w:r>
          </w:p>
        </w:tc>
        <w:tc>
          <w:tcPr>
            <w:tcW w:w="903" w:type="dxa"/>
            <w:vAlign w:val="center"/>
          </w:tcPr>
          <w:p w:rsidR="00A85CFB" w:rsidRPr="008F671D" w:rsidRDefault="00EE01FA" w:rsidP="00823C0A">
            <w:pPr>
              <w:rPr>
                <w:rFonts w:asciiTheme="minorHAnsi" w:hAnsiTheme="minorHAnsi"/>
                <w:sz w:val="20"/>
              </w:rPr>
            </w:pPr>
            <w:r>
              <w:rPr>
                <w:rFonts w:asciiTheme="minorHAnsi" w:hAnsiTheme="minorHAnsi"/>
                <w:sz w:val="20"/>
              </w:rPr>
              <w:t>Yes</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Political Opinion</w:t>
            </w:r>
          </w:p>
        </w:tc>
        <w:tc>
          <w:tcPr>
            <w:tcW w:w="903" w:type="dxa"/>
            <w:vAlign w:val="center"/>
          </w:tcPr>
          <w:p w:rsidR="00A85CFB" w:rsidRPr="008F671D" w:rsidRDefault="00EE01FA"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Disability</w:t>
            </w:r>
          </w:p>
        </w:tc>
        <w:tc>
          <w:tcPr>
            <w:tcW w:w="903" w:type="dxa"/>
            <w:vAlign w:val="center"/>
          </w:tcPr>
          <w:p w:rsidR="00A85CFB" w:rsidRPr="008F671D" w:rsidRDefault="00EE01FA" w:rsidP="00823C0A">
            <w:pPr>
              <w:rPr>
                <w:rFonts w:asciiTheme="minorHAnsi" w:hAnsiTheme="minorHAnsi"/>
                <w:sz w:val="20"/>
              </w:rPr>
            </w:pPr>
            <w:r>
              <w:rPr>
                <w:rFonts w:asciiTheme="minorHAnsi" w:hAnsiTheme="minorHAnsi"/>
                <w:sz w:val="20"/>
              </w:rPr>
              <w:t>Yes</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Dependants</w:t>
            </w:r>
          </w:p>
        </w:tc>
        <w:tc>
          <w:tcPr>
            <w:tcW w:w="903" w:type="dxa"/>
            <w:vAlign w:val="center"/>
          </w:tcPr>
          <w:p w:rsidR="00A85CFB" w:rsidRPr="008F671D" w:rsidRDefault="00EE01FA" w:rsidP="00823C0A">
            <w:pPr>
              <w:rPr>
                <w:rFonts w:asciiTheme="minorHAnsi" w:hAnsiTheme="minorHAnsi"/>
                <w:sz w:val="20"/>
              </w:rPr>
            </w:pPr>
            <w:r>
              <w:rPr>
                <w:rFonts w:asciiTheme="minorHAnsi" w:hAnsiTheme="minorHAnsi"/>
                <w:sz w:val="20"/>
              </w:rPr>
              <w:t>Yes</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Sexual Orientation</w:t>
            </w:r>
          </w:p>
        </w:tc>
        <w:tc>
          <w:tcPr>
            <w:tcW w:w="903" w:type="dxa"/>
            <w:vAlign w:val="center"/>
          </w:tcPr>
          <w:p w:rsidR="00A85CFB" w:rsidRPr="008F671D" w:rsidRDefault="00EE01FA" w:rsidP="00823C0A">
            <w:pPr>
              <w:rPr>
                <w:rFonts w:asciiTheme="minorHAnsi" w:hAnsiTheme="minorHAnsi"/>
                <w:sz w:val="20"/>
              </w:rPr>
            </w:pPr>
            <w:r>
              <w:rPr>
                <w:rFonts w:asciiTheme="minorHAnsi" w:hAnsiTheme="minorHAnsi"/>
                <w:sz w:val="20"/>
              </w:rPr>
              <w:t>Yes</w:t>
            </w:r>
          </w:p>
        </w:tc>
        <w:tc>
          <w:tcPr>
            <w:tcW w:w="4536" w:type="dxa"/>
            <w:vAlign w:val="center"/>
          </w:tcPr>
          <w:p w:rsidR="00A85CFB" w:rsidRPr="008F671D" w:rsidRDefault="00EE01FA" w:rsidP="00823C0A">
            <w:pPr>
              <w:rPr>
                <w:rFonts w:asciiTheme="minorHAnsi" w:hAnsiTheme="minorHAnsi"/>
                <w:sz w:val="20"/>
              </w:rPr>
            </w:pPr>
            <w:r>
              <w:rPr>
                <w:rFonts w:asciiTheme="minorHAnsi" w:hAnsiTheme="minorHAnsi"/>
                <w:sz w:val="20"/>
              </w:rPr>
              <w:t>From 2018/19</w:t>
            </w: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Racial Group</w:t>
            </w:r>
          </w:p>
        </w:tc>
        <w:tc>
          <w:tcPr>
            <w:tcW w:w="903" w:type="dxa"/>
            <w:vAlign w:val="center"/>
          </w:tcPr>
          <w:p w:rsidR="00A85CFB" w:rsidRPr="008F671D" w:rsidRDefault="00EE01FA" w:rsidP="00823C0A">
            <w:pPr>
              <w:rPr>
                <w:rFonts w:asciiTheme="minorHAnsi" w:hAnsiTheme="minorHAnsi"/>
                <w:sz w:val="20"/>
              </w:rPr>
            </w:pPr>
            <w:r>
              <w:rPr>
                <w:rFonts w:asciiTheme="minorHAnsi" w:hAnsiTheme="minorHAnsi"/>
                <w:sz w:val="20"/>
              </w:rPr>
              <w:t>Yes</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4C2627" w:rsidRDefault="00A85CFB" w:rsidP="00C06DF4">
            <w:pPr>
              <w:rPr>
                <w:rFonts w:asciiTheme="minorHAnsi" w:hAnsiTheme="minorHAnsi"/>
                <w:b/>
                <w:sz w:val="20"/>
                <w:szCs w:val="20"/>
              </w:rPr>
            </w:pPr>
            <w:r>
              <w:rPr>
                <w:rFonts w:asciiTheme="minorHAnsi" w:hAnsiTheme="minorHAnsi"/>
                <w:b/>
                <w:sz w:val="20"/>
                <w:szCs w:val="20"/>
              </w:rPr>
              <w:lastRenderedPageBreak/>
              <w:t>L</w:t>
            </w:r>
            <w:r w:rsidRPr="00345E2E">
              <w:rPr>
                <w:rFonts w:asciiTheme="minorHAnsi" w:hAnsiTheme="minorHAnsi"/>
                <w:b/>
                <w:sz w:val="20"/>
                <w:szCs w:val="20"/>
              </w:rPr>
              <w:t>owest level geography at which the measure is available:</w:t>
            </w:r>
          </w:p>
        </w:tc>
        <w:tc>
          <w:tcPr>
            <w:tcW w:w="5439" w:type="dxa"/>
            <w:gridSpan w:val="2"/>
            <w:vAlign w:val="center"/>
          </w:tcPr>
          <w:p w:rsidR="00A85CFB" w:rsidRPr="0006771F" w:rsidRDefault="00C03B9C" w:rsidP="00C03B9C">
            <w:pPr>
              <w:rPr>
                <w:rFonts w:asciiTheme="minorHAnsi" w:hAnsiTheme="minorHAnsi"/>
                <w:sz w:val="20"/>
              </w:rPr>
            </w:pPr>
            <w:r>
              <w:rPr>
                <w:rFonts w:asciiTheme="minorHAnsi" w:hAnsiTheme="minorHAnsi"/>
                <w:sz w:val="20"/>
              </w:rPr>
              <w:t>Parliamentary Constituency</w:t>
            </w:r>
            <w:r w:rsidRPr="00C03B9C">
              <w:rPr>
                <w:rFonts w:asciiTheme="minorHAnsi" w:hAnsiTheme="minorHAnsi"/>
                <w:sz w:val="20"/>
              </w:rPr>
              <w:t xml:space="preserve"> information is available from 201</w:t>
            </w:r>
            <w:r>
              <w:rPr>
                <w:rFonts w:asciiTheme="minorHAnsi" w:hAnsiTheme="minorHAnsi"/>
                <w:sz w:val="20"/>
              </w:rPr>
              <w:t>8</w:t>
            </w:r>
            <w:r w:rsidRPr="00C03B9C">
              <w:rPr>
                <w:rFonts w:asciiTheme="minorHAnsi" w:hAnsiTheme="minorHAnsi"/>
                <w:sz w:val="20"/>
              </w:rPr>
              <w:t>/1</w:t>
            </w:r>
            <w:r>
              <w:rPr>
                <w:rFonts w:asciiTheme="minorHAnsi" w:hAnsiTheme="minorHAnsi"/>
                <w:sz w:val="20"/>
              </w:rPr>
              <w:t>9 - feasibility of providing this breakdown</w:t>
            </w:r>
            <w:r w:rsidRPr="00C03B9C">
              <w:rPr>
                <w:rFonts w:asciiTheme="minorHAnsi" w:hAnsiTheme="minorHAnsi"/>
                <w:sz w:val="20"/>
              </w:rPr>
              <w:t xml:space="preserve"> will be subject to sufficient sample size within each</w:t>
            </w:r>
            <w:r>
              <w:rPr>
                <w:rFonts w:asciiTheme="minorHAnsi" w:hAnsiTheme="minorHAnsi"/>
                <w:sz w:val="20"/>
              </w:rPr>
              <w:t xml:space="preserve"> constituency.</w:t>
            </w:r>
          </w:p>
        </w:tc>
      </w:tr>
    </w:tbl>
    <w:bookmarkEnd w:id="0"/>
    <w:p w:rsidR="00357CC1" w:rsidRPr="00A85CFB" w:rsidRDefault="00A85CFB" w:rsidP="000200B0">
      <w:pPr>
        <w:rPr>
          <w:rFonts w:asciiTheme="minorHAnsi" w:hAnsiTheme="minorHAnsi"/>
          <w:sz w:val="20"/>
          <w:szCs w:val="20"/>
        </w:rPr>
      </w:pPr>
      <w:r w:rsidRPr="000E15DF">
        <w:rPr>
          <w:rFonts w:asciiTheme="minorHAnsi" w:hAnsiTheme="minorHAnsi"/>
          <w:sz w:val="20"/>
          <w:szCs w:val="20"/>
        </w:rPr>
        <w:t>*</w:t>
      </w:r>
      <w:r>
        <w:rPr>
          <w:rFonts w:asciiTheme="minorHAnsi" w:hAnsiTheme="minorHAnsi"/>
          <w:sz w:val="20"/>
          <w:szCs w:val="20"/>
        </w:rPr>
        <w:t xml:space="preserve"> Due to confidentiality constraints, in some instances breakdowns may not be available due to small numbers</w:t>
      </w:r>
    </w:p>
    <w:sectPr w:rsidR="00357CC1" w:rsidRPr="00A85CFB" w:rsidSect="008F671D">
      <w:headerReference w:type="default" r:id="rId11"/>
      <w:pgSz w:w="11906" w:h="16838"/>
      <w:pgMar w:top="709" w:right="851" w:bottom="680" w:left="851" w:header="709"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E52" w:rsidRDefault="00503E52" w:rsidP="008F671D">
      <w:r>
        <w:separator/>
      </w:r>
    </w:p>
  </w:endnote>
  <w:endnote w:type="continuationSeparator" w:id="0">
    <w:p w:rsidR="00503E52" w:rsidRDefault="00503E52" w:rsidP="008F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E52" w:rsidRDefault="00503E52" w:rsidP="008F671D">
      <w:r>
        <w:separator/>
      </w:r>
    </w:p>
  </w:footnote>
  <w:footnote w:type="continuationSeparator" w:id="0">
    <w:p w:rsidR="00503E52" w:rsidRDefault="00503E52" w:rsidP="008F6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2CC" w:rsidRPr="00E14E8E" w:rsidRDefault="007712CC" w:rsidP="008F671D">
    <w:pPr>
      <w:rPr>
        <w:rFonts w:asciiTheme="minorHAnsi" w:hAnsiTheme="minorHAnsi" w:cs="Arial"/>
        <w:b/>
        <w:color w:val="808080" w:themeColor="background1" w:themeShade="80"/>
        <w:sz w:val="28"/>
      </w:rPr>
    </w:pPr>
    <w:r w:rsidRPr="00E14E8E">
      <w:rPr>
        <w:rFonts w:asciiTheme="minorHAnsi" w:hAnsiTheme="minorHAnsi" w:cs="Arial"/>
        <w:b/>
        <w:color w:val="808080" w:themeColor="background1" w:themeShade="80"/>
        <w:sz w:val="28"/>
      </w:rPr>
      <w:t>PFG – 2016/</w:t>
    </w:r>
    <w:r w:rsidR="00823C0A">
      <w:rPr>
        <w:rFonts w:asciiTheme="minorHAnsi" w:hAnsiTheme="minorHAnsi" w:cs="Arial"/>
        <w:b/>
        <w:color w:val="808080" w:themeColor="background1" w:themeShade="80"/>
        <w:sz w:val="28"/>
      </w:rPr>
      <w:t>2021</w:t>
    </w:r>
    <w:r w:rsidR="00823C0A">
      <w:rPr>
        <w:rFonts w:asciiTheme="minorHAnsi" w:hAnsiTheme="minorHAnsi" w:cs="Arial"/>
        <w:b/>
        <w:color w:val="808080" w:themeColor="background1" w:themeShade="80"/>
        <w:sz w:val="28"/>
      </w:rPr>
      <w:tab/>
    </w:r>
    <w:r w:rsidR="00823C0A">
      <w:rPr>
        <w:rFonts w:asciiTheme="minorHAnsi" w:hAnsiTheme="minorHAnsi" w:cs="Arial"/>
        <w:b/>
        <w:color w:val="808080" w:themeColor="background1" w:themeShade="80"/>
        <w:sz w:val="28"/>
      </w:rPr>
      <w:tab/>
    </w:r>
    <w:r w:rsidR="00823C0A">
      <w:rPr>
        <w:rFonts w:asciiTheme="minorHAnsi" w:hAnsiTheme="minorHAnsi" w:cs="Arial"/>
        <w:b/>
        <w:color w:val="808080" w:themeColor="background1" w:themeShade="80"/>
        <w:sz w:val="28"/>
      </w:rPr>
      <w:tab/>
    </w:r>
    <w:r w:rsidR="00823C0A">
      <w:rPr>
        <w:rFonts w:asciiTheme="minorHAnsi" w:hAnsiTheme="minorHAnsi" w:cs="Arial"/>
        <w:b/>
        <w:color w:val="808080" w:themeColor="background1" w:themeShade="80"/>
        <w:sz w:val="28"/>
      </w:rPr>
      <w:tab/>
    </w:r>
    <w:r>
      <w:rPr>
        <w:rFonts w:asciiTheme="minorHAnsi" w:hAnsiTheme="minorHAnsi" w:cs="Arial"/>
        <w:b/>
        <w:color w:val="808080" w:themeColor="background1" w:themeShade="80"/>
        <w:sz w:val="28"/>
      </w:rPr>
      <w:tab/>
    </w:r>
    <w:r>
      <w:rPr>
        <w:rFonts w:asciiTheme="minorHAnsi" w:hAnsiTheme="minorHAnsi" w:cs="Arial"/>
        <w:b/>
        <w:color w:val="808080" w:themeColor="background1" w:themeShade="80"/>
        <w:sz w:val="28"/>
      </w:rPr>
      <w:tab/>
    </w:r>
    <w:r w:rsidRPr="00E14E8E">
      <w:rPr>
        <w:rFonts w:asciiTheme="minorHAnsi" w:hAnsiTheme="minorHAnsi" w:cs="Arial"/>
        <w:b/>
        <w:color w:val="808080" w:themeColor="background1" w:themeShade="80"/>
        <w:sz w:val="28"/>
      </w:rPr>
      <w:tab/>
      <w:t>MEASUREMENT 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B1A3D"/>
    <w:multiLevelType w:val="multilevel"/>
    <w:tmpl w:val="D4C4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35354"/>
    <w:multiLevelType w:val="hybridMultilevel"/>
    <w:tmpl w:val="378092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0200B0"/>
    <w:rsid w:val="000200B0"/>
    <w:rsid w:val="000515AB"/>
    <w:rsid w:val="000531B5"/>
    <w:rsid w:val="00060B9C"/>
    <w:rsid w:val="000660A1"/>
    <w:rsid w:val="0006771F"/>
    <w:rsid w:val="0008741F"/>
    <w:rsid w:val="00095AB2"/>
    <w:rsid w:val="000B1BD2"/>
    <w:rsid w:val="000E43D4"/>
    <w:rsid w:val="000E75A3"/>
    <w:rsid w:val="00113C75"/>
    <w:rsid w:val="00127A62"/>
    <w:rsid w:val="001425E1"/>
    <w:rsid w:val="001668A0"/>
    <w:rsid w:val="001849F8"/>
    <w:rsid w:val="001863BB"/>
    <w:rsid w:val="001C2C68"/>
    <w:rsid w:val="001D1AD8"/>
    <w:rsid w:val="001D69FA"/>
    <w:rsid w:val="001F141E"/>
    <w:rsid w:val="002275CC"/>
    <w:rsid w:val="00235BC7"/>
    <w:rsid w:val="00254DA2"/>
    <w:rsid w:val="00282FAE"/>
    <w:rsid w:val="002C160C"/>
    <w:rsid w:val="00316D9E"/>
    <w:rsid w:val="00324526"/>
    <w:rsid w:val="0032479C"/>
    <w:rsid w:val="00331978"/>
    <w:rsid w:val="00341C45"/>
    <w:rsid w:val="00357CC1"/>
    <w:rsid w:val="00357EB0"/>
    <w:rsid w:val="00372264"/>
    <w:rsid w:val="00376AD3"/>
    <w:rsid w:val="00377F2C"/>
    <w:rsid w:val="00397F49"/>
    <w:rsid w:val="003B013B"/>
    <w:rsid w:val="003C1DB6"/>
    <w:rsid w:val="003C4441"/>
    <w:rsid w:val="003D066F"/>
    <w:rsid w:val="003E6FDF"/>
    <w:rsid w:val="003F0FF6"/>
    <w:rsid w:val="003F1D3A"/>
    <w:rsid w:val="003F74DA"/>
    <w:rsid w:val="00404AD8"/>
    <w:rsid w:val="00423C1B"/>
    <w:rsid w:val="00465B3F"/>
    <w:rsid w:val="00490179"/>
    <w:rsid w:val="0049269F"/>
    <w:rsid w:val="004A24D7"/>
    <w:rsid w:val="004D6771"/>
    <w:rsid w:val="00503E52"/>
    <w:rsid w:val="00535359"/>
    <w:rsid w:val="00542BC4"/>
    <w:rsid w:val="005A4695"/>
    <w:rsid w:val="005B441A"/>
    <w:rsid w:val="005B69FE"/>
    <w:rsid w:val="005C79AD"/>
    <w:rsid w:val="005E386D"/>
    <w:rsid w:val="005F603B"/>
    <w:rsid w:val="00611CCE"/>
    <w:rsid w:val="006B0988"/>
    <w:rsid w:val="006D6E49"/>
    <w:rsid w:val="006F71FC"/>
    <w:rsid w:val="007321E3"/>
    <w:rsid w:val="007348B0"/>
    <w:rsid w:val="00735E57"/>
    <w:rsid w:val="00770017"/>
    <w:rsid w:val="007712CC"/>
    <w:rsid w:val="007841CC"/>
    <w:rsid w:val="007D0190"/>
    <w:rsid w:val="007D4CA2"/>
    <w:rsid w:val="00806A6E"/>
    <w:rsid w:val="00812B5F"/>
    <w:rsid w:val="00823C0A"/>
    <w:rsid w:val="00837F05"/>
    <w:rsid w:val="00882FF5"/>
    <w:rsid w:val="008B6781"/>
    <w:rsid w:val="008F167D"/>
    <w:rsid w:val="008F671D"/>
    <w:rsid w:val="00900676"/>
    <w:rsid w:val="009373F2"/>
    <w:rsid w:val="0094608E"/>
    <w:rsid w:val="00952736"/>
    <w:rsid w:val="009642E9"/>
    <w:rsid w:val="009744B1"/>
    <w:rsid w:val="00977923"/>
    <w:rsid w:val="00980EC4"/>
    <w:rsid w:val="009C1900"/>
    <w:rsid w:val="009C41FB"/>
    <w:rsid w:val="00A0388B"/>
    <w:rsid w:val="00A422E3"/>
    <w:rsid w:val="00A42C48"/>
    <w:rsid w:val="00A42FCB"/>
    <w:rsid w:val="00A4566B"/>
    <w:rsid w:val="00A535C2"/>
    <w:rsid w:val="00A71F94"/>
    <w:rsid w:val="00A85CFB"/>
    <w:rsid w:val="00AA3C83"/>
    <w:rsid w:val="00AE2092"/>
    <w:rsid w:val="00AE6B78"/>
    <w:rsid w:val="00AF7E1A"/>
    <w:rsid w:val="00B151E2"/>
    <w:rsid w:val="00B6370C"/>
    <w:rsid w:val="00B8684A"/>
    <w:rsid w:val="00BD2676"/>
    <w:rsid w:val="00BD4124"/>
    <w:rsid w:val="00C03B9C"/>
    <w:rsid w:val="00C305E8"/>
    <w:rsid w:val="00C5024A"/>
    <w:rsid w:val="00C50CB4"/>
    <w:rsid w:val="00C95F71"/>
    <w:rsid w:val="00CA12E6"/>
    <w:rsid w:val="00CC4122"/>
    <w:rsid w:val="00CC548C"/>
    <w:rsid w:val="00CD441C"/>
    <w:rsid w:val="00CE3F7A"/>
    <w:rsid w:val="00D172FC"/>
    <w:rsid w:val="00DB2A18"/>
    <w:rsid w:val="00E14E8E"/>
    <w:rsid w:val="00E5374D"/>
    <w:rsid w:val="00E64CD3"/>
    <w:rsid w:val="00ED6FEE"/>
    <w:rsid w:val="00EE01FA"/>
    <w:rsid w:val="00EF2DD6"/>
    <w:rsid w:val="00EF610E"/>
    <w:rsid w:val="00F16D3B"/>
    <w:rsid w:val="00F2310C"/>
    <w:rsid w:val="00F35BC1"/>
    <w:rsid w:val="00F47F63"/>
    <w:rsid w:val="00F778CC"/>
    <w:rsid w:val="00F81E8B"/>
    <w:rsid w:val="00FA749E"/>
    <w:rsid w:val="00FB47D0"/>
    <w:rsid w:val="00FC6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20A58-AAAD-4B2E-BDB7-B24D6995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0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6FDF"/>
    <w:rPr>
      <w:color w:val="0000FF" w:themeColor="hyperlink"/>
      <w:u w:val="single"/>
    </w:rPr>
  </w:style>
  <w:style w:type="paragraph" w:styleId="Header">
    <w:name w:val="header"/>
    <w:basedOn w:val="Normal"/>
    <w:link w:val="HeaderChar"/>
    <w:uiPriority w:val="99"/>
    <w:unhideWhenUsed/>
    <w:rsid w:val="008F671D"/>
    <w:pPr>
      <w:tabs>
        <w:tab w:val="center" w:pos="4513"/>
        <w:tab w:val="right" w:pos="9026"/>
      </w:tabs>
    </w:pPr>
  </w:style>
  <w:style w:type="character" w:customStyle="1" w:styleId="HeaderChar">
    <w:name w:val="Header Char"/>
    <w:basedOn w:val="DefaultParagraphFont"/>
    <w:link w:val="Header"/>
    <w:uiPriority w:val="99"/>
    <w:rsid w:val="008F671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F671D"/>
    <w:pPr>
      <w:tabs>
        <w:tab w:val="center" w:pos="4513"/>
        <w:tab w:val="right" w:pos="9026"/>
      </w:tabs>
    </w:pPr>
  </w:style>
  <w:style w:type="character" w:customStyle="1" w:styleId="FooterChar">
    <w:name w:val="Footer Char"/>
    <w:basedOn w:val="DefaultParagraphFont"/>
    <w:link w:val="Footer"/>
    <w:uiPriority w:val="99"/>
    <w:semiHidden/>
    <w:rsid w:val="008F67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671D"/>
    <w:rPr>
      <w:rFonts w:ascii="Tahoma" w:hAnsi="Tahoma" w:cs="Tahoma"/>
      <w:sz w:val="16"/>
      <w:szCs w:val="16"/>
    </w:rPr>
  </w:style>
  <w:style w:type="character" w:customStyle="1" w:styleId="BalloonTextChar">
    <w:name w:val="Balloon Text Char"/>
    <w:basedOn w:val="DefaultParagraphFont"/>
    <w:link w:val="BalloonText"/>
    <w:uiPriority w:val="99"/>
    <w:semiHidden/>
    <w:rsid w:val="008F671D"/>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7712CC"/>
    <w:rPr>
      <w:color w:val="800080" w:themeColor="followedHyperlink"/>
      <w:u w:val="single"/>
    </w:rPr>
  </w:style>
  <w:style w:type="character" w:customStyle="1" w:styleId="A5">
    <w:name w:val="A5"/>
    <w:uiPriority w:val="99"/>
    <w:rsid w:val="007712CC"/>
    <w:rPr>
      <w:rFonts w:cs="Myriad Pro"/>
      <w:color w:val="000000"/>
      <w:sz w:val="22"/>
      <w:szCs w:val="22"/>
    </w:rPr>
  </w:style>
  <w:style w:type="character" w:styleId="CommentReference">
    <w:name w:val="annotation reference"/>
    <w:basedOn w:val="DefaultParagraphFont"/>
    <w:uiPriority w:val="99"/>
    <w:semiHidden/>
    <w:unhideWhenUsed/>
    <w:rsid w:val="00EF610E"/>
    <w:rPr>
      <w:sz w:val="16"/>
      <w:szCs w:val="16"/>
    </w:rPr>
  </w:style>
  <w:style w:type="paragraph" w:styleId="CommentText">
    <w:name w:val="annotation text"/>
    <w:basedOn w:val="Normal"/>
    <w:link w:val="CommentTextChar"/>
    <w:uiPriority w:val="99"/>
    <w:semiHidden/>
    <w:unhideWhenUsed/>
    <w:rsid w:val="00EF610E"/>
    <w:rPr>
      <w:sz w:val="20"/>
      <w:szCs w:val="20"/>
    </w:rPr>
  </w:style>
  <w:style w:type="character" w:customStyle="1" w:styleId="CommentTextChar">
    <w:name w:val="Comment Text Char"/>
    <w:basedOn w:val="DefaultParagraphFont"/>
    <w:link w:val="CommentText"/>
    <w:uiPriority w:val="99"/>
    <w:semiHidden/>
    <w:rsid w:val="00EF61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610E"/>
    <w:rPr>
      <w:b/>
      <w:bCs/>
    </w:rPr>
  </w:style>
  <w:style w:type="character" w:customStyle="1" w:styleId="CommentSubjectChar">
    <w:name w:val="Comment Subject Char"/>
    <w:basedOn w:val="CommentTextChar"/>
    <w:link w:val="CommentSubject"/>
    <w:uiPriority w:val="99"/>
    <w:semiHidden/>
    <w:rsid w:val="00EF610E"/>
    <w:rPr>
      <w:rFonts w:ascii="Times New Roman" w:eastAsia="Times New Roman" w:hAnsi="Times New Roman" w:cs="Times New Roman"/>
      <w:b/>
      <w:bCs/>
      <w:sz w:val="20"/>
      <w:szCs w:val="20"/>
    </w:rPr>
  </w:style>
  <w:style w:type="paragraph" w:styleId="ListParagraph">
    <w:name w:val="List Paragraph"/>
    <w:basedOn w:val="Normal"/>
    <w:uiPriority w:val="34"/>
    <w:qFormat/>
    <w:rsid w:val="00095AB2"/>
    <w:pPr>
      <w:ind w:left="720"/>
    </w:pPr>
    <w:rPr>
      <w:rFonts w:ascii="Calibri" w:eastAsiaTheme="minorHAnsi" w:hAnsi="Calibri"/>
      <w:sz w:val="22"/>
      <w:szCs w:val="22"/>
      <w:lang w:eastAsia="en-GB"/>
    </w:rPr>
  </w:style>
  <w:style w:type="paragraph" w:customStyle="1" w:styleId="Default">
    <w:name w:val="Default"/>
    <w:rsid w:val="00376AD3"/>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5B4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859928">
      <w:bodyDiv w:val="1"/>
      <w:marLeft w:val="0"/>
      <w:marRight w:val="0"/>
      <w:marTop w:val="0"/>
      <w:marBottom w:val="0"/>
      <w:divBdr>
        <w:top w:val="none" w:sz="0" w:space="0" w:color="auto"/>
        <w:left w:val="none" w:sz="0" w:space="0" w:color="auto"/>
        <w:bottom w:val="none" w:sz="0" w:space="0" w:color="auto"/>
        <w:right w:val="none" w:sz="0" w:space="0" w:color="auto"/>
      </w:divBdr>
      <w:divsChild>
        <w:div w:id="1135635051">
          <w:marLeft w:val="0"/>
          <w:marRight w:val="0"/>
          <w:marTop w:val="0"/>
          <w:marBottom w:val="0"/>
          <w:divBdr>
            <w:top w:val="none" w:sz="0" w:space="0" w:color="auto"/>
            <w:left w:val="none" w:sz="0" w:space="0" w:color="auto"/>
            <w:bottom w:val="none" w:sz="0" w:space="0" w:color="auto"/>
            <w:right w:val="none" w:sz="0" w:space="0" w:color="auto"/>
          </w:divBdr>
          <w:divsChild>
            <w:div w:id="322902460">
              <w:marLeft w:val="0"/>
              <w:marRight w:val="0"/>
              <w:marTop w:val="0"/>
              <w:marBottom w:val="0"/>
              <w:divBdr>
                <w:top w:val="none" w:sz="0" w:space="0" w:color="auto"/>
                <w:left w:val="none" w:sz="0" w:space="0" w:color="auto"/>
                <w:bottom w:val="none" w:sz="0" w:space="0" w:color="auto"/>
                <w:right w:val="none" w:sz="0" w:space="0" w:color="auto"/>
              </w:divBdr>
              <w:divsChild>
                <w:div w:id="1382292165">
                  <w:marLeft w:val="0"/>
                  <w:marRight w:val="0"/>
                  <w:marTop w:val="0"/>
                  <w:marBottom w:val="0"/>
                  <w:divBdr>
                    <w:top w:val="none" w:sz="0" w:space="0" w:color="auto"/>
                    <w:left w:val="none" w:sz="0" w:space="0" w:color="auto"/>
                    <w:bottom w:val="none" w:sz="0" w:space="0" w:color="auto"/>
                    <w:right w:val="none" w:sz="0" w:space="0" w:color="auto"/>
                  </w:divBdr>
                  <w:divsChild>
                    <w:div w:id="5527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78174">
      <w:bodyDiv w:val="1"/>
      <w:marLeft w:val="0"/>
      <w:marRight w:val="0"/>
      <w:marTop w:val="0"/>
      <w:marBottom w:val="0"/>
      <w:divBdr>
        <w:top w:val="none" w:sz="0" w:space="0" w:color="auto"/>
        <w:left w:val="none" w:sz="0" w:space="0" w:color="auto"/>
        <w:bottom w:val="none" w:sz="0" w:space="0" w:color="auto"/>
        <w:right w:val="none" w:sz="0" w:space="0" w:color="auto"/>
      </w:divBdr>
    </w:div>
    <w:div w:id="798375487">
      <w:bodyDiv w:val="1"/>
      <w:marLeft w:val="0"/>
      <w:marRight w:val="0"/>
      <w:marTop w:val="0"/>
      <w:marBottom w:val="0"/>
      <w:divBdr>
        <w:top w:val="none" w:sz="0" w:space="0" w:color="auto"/>
        <w:left w:val="none" w:sz="0" w:space="0" w:color="auto"/>
        <w:bottom w:val="none" w:sz="0" w:space="0" w:color="auto"/>
        <w:right w:val="none" w:sz="0" w:space="0" w:color="auto"/>
      </w:divBdr>
    </w:div>
    <w:div w:id="1013654362">
      <w:bodyDiv w:val="1"/>
      <w:marLeft w:val="0"/>
      <w:marRight w:val="0"/>
      <w:marTop w:val="0"/>
      <w:marBottom w:val="0"/>
      <w:divBdr>
        <w:top w:val="none" w:sz="0" w:space="0" w:color="auto"/>
        <w:left w:val="none" w:sz="0" w:space="0" w:color="auto"/>
        <w:bottom w:val="none" w:sz="0" w:space="0" w:color="auto"/>
        <w:right w:val="none" w:sz="0" w:space="0" w:color="auto"/>
      </w:divBdr>
    </w:div>
    <w:div w:id="1696882220">
      <w:bodyDiv w:val="1"/>
      <w:marLeft w:val="0"/>
      <w:marRight w:val="0"/>
      <w:marTop w:val="0"/>
      <w:marBottom w:val="0"/>
      <w:divBdr>
        <w:top w:val="none" w:sz="0" w:space="0" w:color="auto"/>
        <w:left w:val="none" w:sz="0" w:space="0" w:color="auto"/>
        <w:bottom w:val="none" w:sz="0" w:space="0" w:color="auto"/>
        <w:right w:val="none" w:sz="0" w:space="0" w:color="auto"/>
      </w:divBdr>
    </w:div>
    <w:div w:id="177917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ni.gov.uk/publications/experience-crime-findings-201819-northern-ireland-safe-community-surve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ustice-ni.gov.uk/publications/northern-ireland-crime-survey-quality-report" TargetMode="External"/><Relationship Id="rId4" Type="http://schemas.openxmlformats.org/officeDocument/2006/relationships/settings" Target="settings.xml"/><Relationship Id="rId9" Type="http://schemas.openxmlformats.org/officeDocument/2006/relationships/hyperlink" Target="https://www.justice-ni.gov.uk/publications/northern-ireland-crime-survey-quality-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E0001-5C1E-42D6-9937-93887CEB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O'Neill</dc:creator>
  <cp:lastModifiedBy>Administrator</cp:lastModifiedBy>
  <cp:revision>3</cp:revision>
  <cp:lastPrinted>2016-04-11T13:16:00Z</cp:lastPrinted>
  <dcterms:created xsi:type="dcterms:W3CDTF">2019-12-13T10:45:00Z</dcterms:created>
  <dcterms:modified xsi:type="dcterms:W3CDTF">2019-12-19T10:12:00Z</dcterms:modified>
</cp:coreProperties>
</file>