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E49" w:rsidRPr="008F671D" w:rsidRDefault="006D6E49" w:rsidP="006D6E49">
      <w:pPr>
        <w:jc w:val="both"/>
        <w:rPr>
          <w:rFonts w:asciiTheme="minorHAnsi" w:hAnsiTheme="minorHAnsi" w:cs="Arial"/>
          <w:b/>
          <w:sz w:val="20"/>
        </w:rPr>
      </w:pPr>
    </w:p>
    <w:tbl>
      <w:tblPr>
        <w:tblStyle w:val="TableGrid"/>
        <w:tblW w:w="10598" w:type="dxa"/>
        <w:tblLook w:val="04A0" w:firstRow="1" w:lastRow="0" w:firstColumn="1" w:lastColumn="0" w:noHBand="0" w:noVBand="1"/>
      </w:tblPr>
      <w:tblGrid>
        <w:gridCol w:w="3397"/>
        <w:gridCol w:w="7201"/>
      </w:tblGrid>
      <w:tr w:rsidR="003E6FDF" w:rsidRPr="008F671D" w:rsidTr="00882FF5">
        <w:trPr>
          <w:trHeight w:val="397"/>
        </w:trPr>
        <w:tc>
          <w:tcPr>
            <w:tcW w:w="3397" w:type="dxa"/>
            <w:shd w:val="clear" w:color="auto" w:fill="D9D9D9" w:themeFill="background1" w:themeFillShade="D9"/>
            <w:vAlign w:val="center"/>
          </w:tcPr>
          <w:p w:rsidR="003E6FDF" w:rsidRPr="00952736" w:rsidRDefault="00837F05" w:rsidP="00FB47D0">
            <w:pPr>
              <w:rPr>
                <w:rFonts w:asciiTheme="minorHAnsi" w:hAnsiTheme="minorHAnsi"/>
                <w:b/>
                <w:sz w:val="20"/>
                <w:szCs w:val="20"/>
              </w:rPr>
            </w:pPr>
            <w:bookmarkStart w:id="0" w:name="OLE_LINK1"/>
            <w:r w:rsidRPr="00952736">
              <w:rPr>
                <w:rFonts w:asciiTheme="minorHAnsi" w:hAnsiTheme="minorHAnsi"/>
                <w:b/>
                <w:sz w:val="20"/>
                <w:szCs w:val="20"/>
              </w:rPr>
              <w:t>Indicator</w:t>
            </w:r>
            <w:r w:rsidR="003E6FDF" w:rsidRPr="00952736">
              <w:rPr>
                <w:rFonts w:asciiTheme="minorHAnsi" w:hAnsiTheme="minorHAnsi"/>
                <w:b/>
                <w:sz w:val="20"/>
                <w:szCs w:val="20"/>
              </w:rPr>
              <w:t>:</w:t>
            </w:r>
          </w:p>
        </w:tc>
        <w:tc>
          <w:tcPr>
            <w:tcW w:w="7201" w:type="dxa"/>
            <w:vAlign w:val="center"/>
          </w:tcPr>
          <w:p w:rsidR="00FB47D0" w:rsidRPr="00882FF5" w:rsidRDefault="00882FF5" w:rsidP="00837F05">
            <w:pPr>
              <w:rPr>
                <w:rFonts w:asciiTheme="minorHAnsi" w:hAnsiTheme="minorHAnsi"/>
                <w:b/>
                <w:sz w:val="20"/>
                <w:szCs w:val="20"/>
              </w:rPr>
            </w:pPr>
            <w:r w:rsidRPr="00882FF5">
              <w:rPr>
                <w:rFonts w:asciiTheme="minorHAnsi" w:hAnsiTheme="minorHAnsi"/>
                <w:b/>
                <w:sz w:val="20"/>
                <w:szCs w:val="20"/>
              </w:rPr>
              <w:t>Gap between the number of houses we need, and the number of houses we have</w:t>
            </w:r>
          </w:p>
        </w:tc>
      </w:tr>
    </w:tbl>
    <w:p w:rsidR="00FB47D0" w:rsidRPr="008F671D" w:rsidRDefault="00FB47D0">
      <w:pPr>
        <w:rPr>
          <w:rFonts w:asciiTheme="minorHAnsi" w:hAnsiTheme="minorHAnsi"/>
        </w:rPr>
      </w:pPr>
    </w:p>
    <w:tbl>
      <w:tblPr>
        <w:tblStyle w:val="TableGrid"/>
        <w:tblW w:w="10598" w:type="dxa"/>
        <w:tblLook w:val="04A0" w:firstRow="1" w:lastRow="0" w:firstColumn="1" w:lastColumn="0" w:noHBand="0" w:noVBand="1"/>
      </w:tblPr>
      <w:tblGrid>
        <w:gridCol w:w="3066"/>
        <w:gridCol w:w="5910"/>
        <w:gridCol w:w="1622"/>
      </w:tblGrid>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 xml:space="preserve">Responsible Statistician: </w:t>
            </w:r>
          </w:p>
        </w:tc>
        <w:tc>
          <w:tcPr>
            <w:tcW w:w="7229" w:type="dxa"/>
            <w:gridSpan w:val="2"/>
            <w:vAlign w:val="center"/>
          </w:tcPr>
          <w:p w:rsidR="00A85CFB" w:rsidRPr="008F671D" w:rsidRDefault="000B1BD2" w:rsidP="000B1BD2">
            <w:pPr>
              <w:rPr>
                <w:rFonts w:asciiTheme="minorHAnsi" w:hAnsiTheme="minorHAnsi"/>
                <w:sz w:val="20"/>
              </w:rPr>
            </w:pPr>
            <w:r w:rsidRPr="000B1BD2">
              <w:rPr>
                <w:rFonts w:asciiTheme="minorHAnsi" w:hAnsiTheme="minorHAnsi"/>
                <w:sz w:val="20"/>
              </w:rPr>
              <w:t>Stephanie Harcourt</w:t>
            </w:r>
            <w:r w:rsidR="00A85CFB">
              <w:rPr>
                <w:rFonts w:asciiTheme="minorHAnsi" w:hAnsiTheme="minorHAnsi"/>
                <w:sz w:val="20"/>
              </w:rPr>
              <w:t xml:space="preserve">, Department </w:t>
            </w:r>
            <w:r>
              <w:rPr>
                <w:rFonts w:asciiTheme="minorHAnsi" w:hAnsiTheme="minorHAnsi"/>
                <w:sz w:val="20"/>
              </w:rPr>
              <w:t>of Finance</w:t>
            </w:r>
            <w:bookmarkStart w:id="1" w:name="_GoBack"/>
            <w:bookmarkEnd w:id="1"/>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Web Link to Statistical Publication:</w:t>
            </w:r>
          </w:p>
        </w:tc>
        <w:tc>
          <w:tcPr>
            <w:tcW w:w="7229" w:type="dxa"/>
            <w:gridSpan w:val="2"/>
            <w:vAlign w:val="center"/>
          </w:tcPr>
          <w:p w:rsidR="00A85CFB" w:rsidRPr="00ED6FEE" w:rsidRDefault="00E64CD3" w:rsidP="00823C0A">
            <w:pPr>
              <w:rPr>
                <w:rStyle w:val="Hyperlink"/>
                <w:rFonts w:asciiTheme="minorHAnsi" w:hAnsiTheme="minorHAnsi"/>
                <w:sz w:val="20"/>
              </w:rPr>
            </w:pPr>
            <w:hyperlink r:id="rId8" w:history="1">
              <w:r w:rsidR="00A85CFB" w:rsidRPr="00ED6FEE">
                <w:rPr>
                  <w:rStyle w:val="Hyperlink"/>
                  <w:rFonts w:asciiTheme="minorHAnsi" w:hAnsiTheme="minorHAnsi"/>
                  <w:sz w:val="20"/>
                </w:rPr>
                <w:t>https://www.finance-ni.gov.uk/publications/annual-housing-stock-statistics</w:t>
              </w:r>
            </w:hyperlink>
          </w:p>
          <w:p w:rsidR="00A85CFB" w:rsidRPr="008F671D" w:rsidRDefault="00A85CFB" w:rsidP="00823C0A">
            <w:pPr>
              <w:rPr>
                <w:rFonts w:asciiTheme="minorHAnsi" w:hAnsiTheme="minorHAnsi"/>
                <w:sz w:val="20"/>
              </w:rPr>
            </w:pPr>
            <w:r>
              <w:rPr>
                <w:rFonts w:asciiTheme="minorHAnsi" w:hAnsiTheme="minorHAnsi"/>
                <w:sz w:val="20"/>
              </w:rPr>
              <w:t xml:space="preserve"> (</w:t>
            </w:r>
            <w:r w:rsidRPr="00CA12E6">
              <w:rPr>
                <w:rFonts w:asciiTheme="minorHAnsi" w:hAnsiTheme="minorHAnsi"/>
                <w:sz w:val="20"/>
              </w:rPr>
              <w:t>Annual housing stock statistics</w:t>
            </w:r>
            <w:r>
              <w:rPr>
                <w:rFonts w:asciiTheme="minorHAnsi" w:hAnsiTheme="minorHAnsi"/>
                <w:sz w:val="20"/>
              </w:rPr>
              <w:t>)</w:t>
            </w:r>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Pr>
                <w:rFonts w:asciiTheme="minorHAnsi" w:hAnsiTheme="minorHAnsi"/>
                <w:b/>
                <w:sz w:val="20"/>
                <w:szCs w:val="20"/>
              </w:rPr>
              <w:t>Frequency of update</w:t>
            </w:r>
            <w:r w:rsidRPr="00345E2E">
              <w:rPr>
                <w:rFonts w:asciiTheme="minorHAnsi" w:hAnsiTheme="minorHAnsi"/>
                <w:b/>
                <w:sz w:val="20"/>
                <w:szCs w:val="20"/>
              </w:rPr>
              <w:t>:</w:t>
            </w:r>
          </w:p>
        </w:tc>
        <w:tc>
          <w:tcPr>
            <w:tcW w:w="7229" w:type="dxa"/>
            <w:gridSpan w:val="2"/>
            <w:vAlign w:val="center"/>
          </w:tcPr>
          <w:p w:rsidR="00A85CFB" w:rsidRPr="008F671D" w:rsidRDefault="00A85CFB" w:rsidP="00823C0A">
            <w:pPr>
              <w:rPr>
                <w:rFonts w:asciiTheme="minorHAnsi" w:hAnsiTheme="minorHAnsi"/>
                <w:sz w:val="20"/>
              </w:rPr>
            </w:pPr>
            <w:r>
              <w:rPr>
                <w:rFonts w:asciiTheme="minorHAnsi" w:hAnsiTheme="minorHAnsi"/>
                <w:sz w:val="20"/>
              </w:rPr>
              <w:t>Published Annually</w:t>
            </w:r>
            <w:r w:rsidR="00F16D3B">
              <w:rPr>
                <w:rFonts w:asciiTheme="minorHAnsi" w:hAnsiTheme="minorHAnsi"/>
                <w:sz w:val="20"/>
              </w:rPr>
              <w:t xml:space="preserve"> </w:t>
            </w:r>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Pr>
                <w:rFonts w:asciiTheme="minorHAnsi" w:hAnsiTheme="minorHAnsi"/>
                <w:b/>
                <w:sz w:val="20"/>
                <w:szCs w:val="20"/>
              </w:rPr>
              <w:t>T</w:t>
            </w:r>
            <w:r w:rsidRPr="00345E2E">
              <w:rPr>
                <w:rFonts w:asciiTheme="minorHAnsi" w:hAnsiTheme="minorHAnsi"/>
                <w:b/>
                <w:sz w:val="20"/>
                <w:szCs w:val="20"/>
              </w:rPr>
              <w:t>ime lag:</w:t>
            </w:r>
          </w:p>
        </w:tc>
        <w:tc>
          <w:tcPr>
            <w:tcW w:w="7229" w:type="dxa"/>
            <w:gridSpan w:val="2"/>
            <w:vAlign w:val="center"/>
          </w:tcPr>
          <w:p w:rsidR="00A85CFB" w:rsidRPr="008F671D" w:rsidRDefault="00A85CFB" w:rsidP="00823C0A">
            <w:pPr>
              <w:rPr>
                <w:rFonts w:asciiTheme="minorHAnsi" w:hAnsiTheme="minorHAnsi"/>
                <w:sz w:val="20"/>
              </w:rPr>
            </w:pPr>
            <w:r>
              <w:rPr>
                <w:rFonts w:asciiTheme="minorHAnsi" w:hAnsiTheme="minorHAnsi"/>
                <w:sz w:val="20"/>
              </w:rPr>
              <w:t xml:space="preserve">Published </w:t>
            </w:r>
            <w:r w:rsidR="00F16D3B">
              <w:rPr>
                <w:rFonts w:asciiTheme="minorHAnsi" w:hAnsiTheme="minorHAnsi"/>
                <w:sz w:val="20"/>
              </w:rPr>
              <w:t xml:space="preserve"> two months later</w:t>
            </w:r>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Data Source:</w:t>
            </w:r>
          </w:p>
        </w:tc>
        <w:tc>
          <w:tcPr>
            <w:tcW w:w="7229" w:type="dxa"/>
            <w:gridSpan w:val="2"/>
            <w:vAlign w:val="center"/>
          </w:tcPr>
          <w:p w:rsidR="00A85CFB" w:rsidRPr="008F671D" w:rsidRDefault="00A85CFB" w:rsidP="00823C0A">
            <w:pPr>
              <w:rPr>
                <w:rFonts w:asciiTheme="minorHAnsi" w:hAnsiTheme="minorHAnsi"/>
                <w:sz w:val="20"/>
              </w:rPr>
            </w:pPr>
            <w:r>
              <w:rPr>
                <w:rFonts w:asciiTheme="minorHAnsi" w:hAnsiTheme="minorHAnsi"/>
                <w:sz w:val="20"/>
              </w:rPr>
              <w:t>Administrative</w:t>
            </w:r>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National Statistics</w:t>
            </w:r>
            <w:r>
              <w:rPr>
                <w:rFonts w:asciiTheme="minorHAnsi" w:hAnsiTheme="minorHAnsi"/>
                <w:b/>
                <w:sz w:val="20"/>
                <w:szCs w:val="20"/>
              </w:rPr>
              <w:t xml:space="preserve"> Status</w:t>
            </w:r>
          </w:p>
        </w:tc>
        <w:tc>
          <w:tcPr>
            <w:tcW w:w="7229" w:type="dxa"/>
            <w:gridSpan w:val="2"/>
            <w:vAlign w:val="center"/>
          </w:tcPr>
          <w:p w:rsidR="00A85CFB" w:rsidRPr="008F671D" w:rsidRDefault="00F16D3B" w:rsidP="00823C0A">
            <w:pPr>
              <w:rPr>
                <w:rFonts w:asciiTheme="minorHAnsi" w:hAnsiTheme="minorHAnsi"/>
                <w:sz w:val="20"/>
              </w:rPr>
            </w:pPr>
            <w:r>
              <w:rPr>
                <w:rFonts w:asciiTheme="minorHAnsi" w:hAnsiTheme="minorHAnsi"/>
                <w:sz w:val="20"/>
              </w:rPr>
              <w:t>Official</w:t>
            </w:r>
            <w:r w:rsidR="00A85CFB">
              <w:rPr>
                <w:rFonts w:asciiTheme="minorHAnsi" w:hAnsiTheme="minorHAnsi"/>
                <w:sz w:val="20"/>
              </w:rPr>
              <w:t xml:space="preserve"> Statistics</w:t>
            </w:r>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Quality Report:</w:t>
            </w:r>
          </w:p>
        </w:tc>
        <w:tc>
          <w:tcPr>
            <w:tcW w:w="7229" w:type="dxa"/>
            <w:gridSpan w:val="2"/>
            <w:vAlign w:val="center"/>
          </w:tcPr>
          <w:p w:rsidR="00A85CFB" w:rsidRDefault="00E64CD3" w:rsidP="00823C0A">
            <w:hyperlink r:id="rId9" w:history="1">
              <w:r w:rsidR="00A85CFB" w:rsidRPr="00423C1B">
                <w:rPr>
                  <w:rStyle w:val="Hyperlink"/>
                  <w:rFonts w:asciiTheme="minorHAnsi" w:hAnsiTheme="minorHAnsi"/>
                  <w:sz w:val="20"/>
                </w:rPr>
                <w:t>https://www.finance-ni.gov.uk/publications/housing-stock-quality-assurance-administrative-date</w:t>
              </w:r>
            </w:hyperlink>
          </w:p>
          <w:p w:rsidR="00A85CFB" w:rsidRPr="008F671D" w:rsidRDefault="00A85CFB" w:rsidP="00823C0A">
            <w:pPr>
              <w:rPr>
                <w:rFonts w:asciiTheme="minorHAnsi" w:hAnsiTheme="minorHAnsi"/>
                <w:sz w:val="20"/>
              </w:rPr>
            </w:pPr>
          </w:p>
        </w:tc>
      </w:tr>
      <w:tr w:rsidR="00A85CFB" w:rsidRPr="008F671D" w:rsidTr="00A85CFB">
        <w:trPr>
          <w:trHeight w:val="340"/>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Historic Data available from:</w:t>
            </w:r>
          </w:p>
        </w:tc>
        <w:tc>
          <w:tcPr>
            <w:tcW w:w="7229" w:type="dxa"/>
            <w:gridSpan w:val="2"/>
            <w:vAlign w:val="center"/>
          </w:tcPr>
          <w:p w:rsidR="00A85CFB" w:rsidRPr="008F671D" w:rsidRDefault="00A85CFB" w:rsidP="00823C0A">
            <w:pPr>
              <w:rPr>
                <w:rFonts w:asciiTheme="minorHAnsi" w:hAnsiTheme="minorHAnsi"/>
                <w:sz w:val="20"/>
              </w:rPr>
            </w:pPr>
            <w:r>
              <w:rPr>
                <w:rFonts w:asciiTheme="minorHAnsi" w:hAnsiTheme="minorHAnsi"/>
                <w:sz w:val="20"/>
              </w:rPr>
              <w:t xml:space="preserve"> 2008</w:t>
            </w:r>
          </w:p>
        </w:tc>
      </w:tr>
      <w:tr w:rsidR="00A85CFB" w:rsidRPr="008F671D" w:rsidTr="00823C0A">
        <w:trPr>
          <w:trHeight w:val="4366"/>
        </w:trPr>
        <w:tc>
          <w:tcPr>
            <w:tcW w:w="3369" w:type="dxa"/>
            <w:shd w:val="clear" w:color="auto" w:fill="D9D9D9" w:themeFill="background1" w:themeFillShade="D9"/>
            <w:vAlign w:val="center"/>
          </w:tcPr>
          <w:p w:rsidR="00A85CFB" w:rsidRPr="004D6771" w:rsidRDefault="00A85CFB" w:rsidP="00C06DF4">
            <w:pPr>
              <w:rPr>
                <w:rFonts w:asciiTheme="minorHAnsi" w:hAnsiTheme="minorHAnsi"/>
                <w:b/>
                <w:sz w:val="20"/>
                <w:szCs w:val="20"/>
              </w:rPr>
            </w:pPr>
            <w:r w:rsidRPr="004D6771">
              <w:rPr>
                <w:rFonts w:asciiTheme="minorHAnsi" w:hAnsiTheme="minorHAnsi"/>
                <w:b/>
                <w:sz w:val="20"/>
                <w:szCs w:val="20"/>
              </w:rPr>
              <w:t xml:space="preserve">Time-series trend: </w:t>
            </w:r>
          </w:p>
          <w:p w:rsidR="00A85CFB" w:rsidRPr="00B8684A" w:rsidRDefault="00A85CFB" w:rsidP="00C06DF4">
            <w:pPr>
              <w:rPr>
                <w:rFonts w:asciiTheme="minorHAnsi" w:hAnsiTheme="minorHAnsi"/>
                <w:b/>
                <w:sz w:val="20"/>
                <w:szCs w:val="20"/>
                <w:highlight w:val="yellow"/>
              </w:rPr>
            </w:pPr>
          </w:p>
          <w:p w:rsidR="00A85CFB" w:rsidRPr="00B8684A" w:rsidRDefault="00A85CFB" w:rsidP="00C06DF4">
            <w:pPr>
              <w:rPr>
                <w:rFonts w:asciiTheme="minorHAnsi" w:hAnsiTheme="minorHAnsi"/>
                <w:sz w:val="20"/>
                <w:szCs w:val="20"/>
                <w:highlight w:val="yellow"/>
              </w:rPr>
            </w:pPr>
          </w:p>
        </w:tc>
        <w:tc>
          <w:tcPr>
            <w:tcW w:w="7229" w:type="dxa"/>
            <w:gridSpan w:val="2"/>
            <w:vAlign w:val="center"/>
          </w:tcPr>
          <w:p w:rsidR="00A85CFB" w:rsidRPr="00B8684A" w:rsidRDefault="00A85CFB" w:rsidP="00823C0A">
            <w:pPr>
              <w:rPr>
                <w:rFonts w:asciiTheme="minorHAnsi" w:hAnsiTheme="minorHAnsi"/>
                <w:sz w:val="20"/>
                <w:highlight w:val="yellow"/>
              </w:rPr>
            </w:pPr>
          </w:p>
          <w:p w:rsidR="00A85CFB" w:rsidRPr="004D6771" w:rsidRDefault="00A85CFB" w:rsidP="00823C0A">
            <w:pPr>
              <w:rPr>
                <w:rFonts w:asciiTheme="minorHAnsi" w:hAnsiTheme="minorHAnsi"/>
                <w:sz w:val="20"/>
              </w:rPr>
            </w:pPr>
            <w:r w:rsidRPr="004D6771">
              <w:rPr>
                <w:rFonts w:asciiTheme="minorHAnsi" w:hAnsiTheme="minorHAnsi"/>
                <w:sz w:val="20"/>
              </w:rPr>
              <w:t xml:space="preserve">There were </w:t>
            </w:r>
            <w:r w:rsidR="005A4695">
              <w:rPr>
                <w:rFonts w:asciiTheme="minorHAnsi" w:hAnsiTheme="minorHAnsi"/>
                <w:sz w:val="20"/>
              </w:rPr>
              <w:t>798,971</w:t>
            </w:r>
            <w:r w:rsidRPr="004D6771">
              <w:rPr>
                <w:rFonts w:asciiTheme="minorHAnsi" w:hAnsiTheme="minorHAnsi"/>
                <w:sz w:val="20"/>
              </w:rPr>
              <w:t xml:space="preserve"> dwellings i</w:t>
            </w:r>
            <w:r w:rsidR="00377F2C" w:rsidRPr="004D6771">
              <w:rPr>
                <w:rFonts w:asciiTheme="minorHAnsi" w:hAnsiTheme="minorHAnsi"/>
                <w:sz w:val="20"/>
              </w:rPr>
              <w:t>n Northern Ireland in April 201</w:t>
            </w:r>
            <w:r w:rsidR="005A4695">
              <w:rPr>
                <w:rFonts w:asciiTheme="minorHAnsi" w:hAnsiTheme="minorHAnsi"/>
                <w:sz w:val="20"/>
              </w:rPr>
              <w:t>9</w:t>
            </w:r>
            <w:r w:rsidRPr="004D6771">
              <w:rPr>
                <w:rFonts w:asciiTheme="minorHAnsi" w:hAnsiTheme="minorHAnsi"/>
                <w:sz w:val="20"/>
              </w:rPr>
              <w:t xml:space="preserve">, </w:t>
            </w:r>
            <w:r w:rsidR="004D6771" w:rsidRPr="004D6771">
              <w:rPr>
                <w:rFonts w:asciiTheme="minorHAnsi" w:hAnsiTheme="minorHAnsi"/>
                <w:sz w:val="20"/>
              </w:rPr>
              <w:t xml:space="preserve">a rise of </w:t>
            </w:r>
            <w:r w:rsidR="005A4695">
              <w:rPr>
                <w:rFonts w:asciiTheme="minorHAnsi" w:hAnsiTheme="minorHAnsi"/>
                <w:sz w:val="20"/>
              </w:rPr>
              <w:t>8,643</w:t>
            </w:r>
            <w:r w:rsidR="004D6771" w:rsidRPr="004D6771">
              <w:rPr>
                <w:rFonts w:asciiTheme="minorHAnsi" w:hAnsiTheme="minorHAnsi"/>
                <w:sz w:val="20"/>
              </w:rPr>
              <w:t xml:space="preserve"> (</w:t>
            </w:r>
            <w:r w:rsidR="005A4695">
              <w:rPr>
                <w:rFonts w:asciiTheme="minorHAnsi" w:hAnsiTheme="minorHAnsi"/>
                <w:sz w:val="20"/>
              </w:rPr>
              <w:t>1.1</w:t>
            </w:r>
            <w:r w:rsidR="00377F2C" w:rsidRPr="004D6771">
              <w:rPr>
                <w:rFonts w:asciiTheme="minorHAnsi" w:hAnsiTheme="minorHAnsi"/>
                <w:sz w:val="20"/>
              </w:rPr>
              <w:t>%) from 201</w:t>
            </w:r>
            <w:r w:rsidR="005A4695">
              <w:rPr>
                <w:rFonts w:asciiTheme="minorHAnsi" w:hAnsiTheme="minorHAnsi"/>
                <w:sz w:val="20"/>
              </w:rPr>
              <w:t>8</w:t>
            </w:r>
            <w:r w:rsidRPr="004D6771">
              <w:rPr>
                <w:rFonts w:asciiTheme="minorHAnsi" w:hAnsiTheme="minorHAnsi"/>
                <w:sz w:val="20"/>
              </w:rPr>
              <w:t xml:space="preserve"> (</w:t>
            </w:r>
            <w:r w:rsidR="005A4695">
              <w:rPr>
                <w:rFonts w:asciiTheme="minorHAnsi" w:hAnsiTheme="minorHAnsi"/>
                <w:sz w:val="20"/>
              </w:rPr>
              <w:t>790,328</w:t>
            </w:r>
            <w:r w:rsidRPr="004D6771">
              <w:rPr>
                <w:rFonts w:asciiTheme="minorHAnsi" w:hAnsiTheme="minorHAnsi"/>
                <w:sz w:val="20"/>
              </w:rPr>
              <w:t>). The volume of housing stock has increased year on year throughout the time series with the rate of growth fluctuating.</w:t>
            </w:r>
          </w:p>
          <w:p w:rsidR="004A24D7" w:rsidRPr="00B8684A" w:rsidRDefault="004A24D7" w:rsidP="00823C0A">
            <w:pPr>
              <w:rPr>
                <w:rStyle w:val="Hyperlink"/>
                <w:highlight w:val="yellow"/>
              </w:rPr>
            </w:pPr>
          </w:p>
          <w:p w:rsidR="00A85CFB" w:rsidRDefault="00A85CFB" w:rsidP="00823C0A">
            <w:pPr>
              <w:rPr>
                <w:rFonts w:asciiTheme="minorHAnsi" w:hAnsiTheme="minorHAnsi"/>
                <w:b/>
                <w:sz w:val="20"/>
              </w:rPr>
            </w:pPr>
            <w:r w:rsidRPr="00341C45">
              <w:rPr>
                <w:rFonts w:asciiTheme="minorHAnsi" w:hAnsiTheme="minorHAnsi"/>
                <w:b/>
                <w:sz w:val="20"/>
              </w:rPr>
              <w:t>Total Housi</w:t>
            </w:r>
            <w:r w:rsidR="00341C45" w:rsidRPr="00341C45">
              <w:rPr>
                <w:rFonts w:asciiTheme="minorHAnsi" w:hAnsiTheme="minorHAnsi"/>
                <w:b/>
                <w:sz w:val="20"/>
              </w:rPr>
              <w:t>ng Stock in NI: 2008-201</w:t>
            </w:r>
            <w:r w:rsidR="005A4695">
              <w:rPr>
                <w:rFonts w:asciiTheme="minorHAnsi" w:hAnsiTheme="minorHAnsi"/>
                <w:b/>
                <w:sz w:val="20"/>
              </w:rPr>
              <w:t>9</w:t>
            </w:r>
          </w:p>
          <w:p w:rsidR="00CC548C" w:rsidRPr="00341C45" w:rsidRDefault="00CC548C" w:rsidP="00823C0A">
            <w:pPr>
              <w:rPr>
                <w:rFonts w:asciiTheme="minorHAnsi" w:hAnsiTheme="minorHAnsi"/>
                <w:b/>
                <w:sz w:val="20"/>
              </w:rPr>
            </w:pPr>
          </w:p>
          <w:tbl>
            <w:tblPr>
              <w:tblStyle w:val="TableGrid"/>
              <w:tblW w:w="0" w:type="auto"/>
              <w:tblLook w:val="04A0" w:firstRow="1" w:lastRow="0" w:firstColumn="1" w:lastColumn="0" w:noHBand="0" w:noVBand="1"/>
            </w:tblPr>
            <w:tblGrid>
              <w:gridCol w:w="988"/>
              <w:gridCol w:w="2268"/>
            </w:tblGrid>
            <w:tr w:rsidR="00CC548C" w:rsidRPr="00603F8C" w:rsidTr="00B102B3">
              <w:trPr>
                <w:trHeight w:val="255"/>
              </w:trPr>
              <w:tc>
                <w:tcPr>
                  <w:tcW w:w="988" w:type="dxa"/>
                  <w:noWrap/>
                </w:tcPr>
                <w:p w:rsidR="00CC548C" w:rsidRPr="00603F8C" w:rsidRDefault="00CC548C" w:rsidP="00CC548C">
                  <w:pPr>
                    <w:rPr>
                      <w:sz w:val="20"/>
                      <w:szCs w:val="20"/>
                    </w:rPr>
                  </w:pPr>
                </w:p>
              </w:tc>
              <w:tc>
                <w:tcPr>
                  <w:tcW w:w="2268" w:type="dxa"/>
                  <w:noWrap/>
                </w:tcPr>
                <w:p w:rsidR="00CC548C" w:rsidRPr="00603F8C" w:rsidRDefault="00CC548C" w:rsidP="00CC548C">
                  <w:pPr>
                    <w:rPr>
                      <w:sz w:val="20"/>
                      <w:szCs w:val="20"/>
                    </w:rPr>
                  </w:pPr>
                  <w:r w:rsidRPr="00603F8C">
                    <w:rPr>
                      <w:sz w:val="20"/>
                      <w:szCs w:val="20"/>
                    </w:rPr>
                    <w:t>Total NI Housing Stock</w:t>
                  </w:r>
                </w:p>
              </w:tc>
            </w:tr>
            <w:tr w:rsidR="00CC548C" w:rsidRPr="00603F8C" w:rsidTr="00B102B3">
              <w:trPr>
                <w:trHeight w:val="255"/>
              </w:trPr>
              <w:tc>
                <w:tcPr>
                  <w:tcW w:w="988" w:type="dxa"/>
                  <w:noWrap/>
                  <w:hideMark/>
                </w:tcPr>
                <w:p w:rsidR="00CC548C" w:rsidRPr="00603F8C" w:rsidRDefault="00CC548C" w:rsidP="00CC548C">
                  <w:pPr>
                    <w:rPr>
                      <w:sz w:val="20"/>
                      <w:szCs w:val="20"/>
                    </w:rPr>
                  </w:pPr>
                  <w:r w:rsidRPr="00603F8C">
                    <w:rPr>
                      <w:sz w:val="20"/>
                      <w:szCs w:val="20"/>
                    </w:rPr>
                    <w:t>2008</w:t>
                  </w:r>
                </w:p>
              </w:tc>
              <w:tc>
                <w:tcPr>
                  <w:tcW w:w="2268" w:type="dxa"/>
                  <w:noWrap/>
                  <w:hideMark/>
                </w:tcPr>
                <w:p w:rsidR="00CC548C" w:rsidRPr="00603F8C" w:rsidRDefault="00CC548C" w:rsidP="00CC548C">
                  <w:pPr>
                    <w:rPr>
                      <w:sz w:val="20"/>
                      <w:szCs w:val="20"/>
                    </w:rPr>
                  </w:pPr>
                  <w:r w:rsidRPr="00603F8C">
                    <w:rPr>
                      <w:sz w:val="20"/>
                      <w:szCs w:val="20"/>
                    </w:rPr>
                    <w:t xml:space="preserve">    728,341 </w:t>
                  </w:r>
                </w:p>
              </w:tc>
            </w:tr>
            <w:tr w:rsidR="00CC548C" w:rsidRPr="00603F8C" w:rsidTr="00B102B3">
              <w:trPr>
                <w:trHeight w:val="255"/>
              </w:trPr>
              <w:tc>
                <w:tcPr>
                  <w:tcW w:w="988" w:type="dxa"/>
                  <w:noWrap/>
                  <w:hideMark/>
                </w:tcPr>
                <w:p w:rsidR="00CC548C" w:rsidRPr="00603F8C" w:rsidRDefault="00CC548C" w:rsidP="00CC548C">
                  <w:pPr>
                    <w:rPr>
                      <w:sz w:val="20"/>
                      <w:szCs w:val="20"/>
                    </w:rPr>
                  </w:pPr>
                  <w:r w:rsidRPr="00603F8C">
                    <w:rPr>
                      <w:sz w:val="20"/>
                      <w:szCs w:val="20"/>
                    </w:rPr>
                    <w:t>2009</w:t>
                  </w:r>
                </w:p>
              </w:tc>
              <w:tc>
                <w:tcPr>
                  <w:tcW w:w="2268" w:type="dxa"/>
                  <w:noWrap/>
                  <w:hideMark/>
                </w:tcPr>
                <w:p w:rsidR="00CC548C" w:rsidRPr="00603F8C" w:rsidRDefault="00CC548C" w:rsidP="00CC548C">
                  <w:pPr>
                    <w:rPr>
                      <w:sz w:val="20"/>
                      <w:szCs w:val="20"/>
                    </w:rPr>
                  </w:pPr>
                  <w:r w:rsidRPr="00603F8C">
                    <w:rPr>
                      <w:sz w:val="20"/>
                      <w:szCs w:val="20"/>
                    </w:rPr>
                    <w:t xml:space="preserve">    740,098 </w:t>
                  </w:r>
                </w:p>
              </w:tc>
            </w:tr>
            <w:tr w:rsidR="00CC548C" w:rsidRPr="00603F8C" w:rsidTr="00B102B3">
              <w:trPr>
                <w:trHeight w:val="255"/>
              </w:trPr>
              <w:tc>
                <w:tcPr>
                  <w:tcW w:w="988" w:type="dxa"/>
                  <w:noWrap/>
                  <w:hideMark/>
                </w:tcPr>
                <w:p w:rsidR="00CC548C" w:rsidRPr="00603F8C" w:rsidRDefault="00CC548C" w:rsidP="00CC548C">
                  <w:pPr>
                    <w:rPr>
                      <w:sz w:val="20"/>
                      <w:szCs w:val="20"/>
                    </w:rPr>
                  </w:pPr>
                  <w:r w:rsidRPr="00603F8C">
                    <w:rPr>
                      <w:sz w:val="20"/>
                      <w:szCs w:val="20"/>
                    </w:rPr>
                    <w:t>2010</w:t>
                  </w:r>
                </w:p>
              </w:tc>
              <w:tc>
                <w:tcPr>
                  <w:tcW w:w="2268" w:type="dxa"/>
                  <w:noWrap/>
                  <w:hideMark/>
                </w:tcPr>
                <w:p w:rsidR="00CC548C" w:rsidRPr="00603F8C" w:rsidRDefault="00CC548C" w:rsidP="00CC548C">
                  <w:pPr>
                    <w:rPr>
                      <w:sz w:val="20"/>
                      <w:szCs w:val="20"/>
                    </w:rPr>
                  </w:pPr>
                  <w:r w:rsidRPr="00603F8C">
                    <w:rPr>
                      <w:sz w:val="20"/>
                      <w:szCs w:val="20"/>
                    </w:rPr>
                    <w:t xml:space="preserve">    750,349 </w:t>
                  </w:r>
                </w:p>
              </w:tc>
            </w:tr>
            <w:tr w:rsidR="00CC548C" w:rsidRPr="00603F8C" w:rsidTr="00B102B3">
              <w:trPr>
                <w:trHeight w:val="255"/>
              </w:trPr>
              <w:tc>
                <w:tcPr>
                  <w:tcW w:w="988" w:type="dxa"/>
                  <w:noWrap/>
                  <w:hideMark/>
                </w:tcPr>
                <w:p w:rsidR="00CC548C" w:rsidRPr="00603F8C" w:rsidRDefault="00CC548C" w:rsidP="00CC548C">
                  <w:pPr>
                    <w:rPr>
                      <w:sz w:val="20"/>
                      <w:szCs w:val="20"/>
                    </w:rPr>
                  </w:pPr>
                  <w:r w:rsidRPr="00603F8C">
                    <w:rPr>
                      <w:sz w:val="20"/>
                      <w:szCs w:val="20"/>
                    </w:rPr>
                    <w:t>2011</w:t>
                  </w:r>
                </w:p>
              </w:tc>
              <w:tc>
                <w:tcPr>
                  <w:tcW w:w="2268" w:type="dxa"/>
                  <w:noWrap/>
                  <w:hideMark/>
                </w:tcPr>
                <w:p w:rsidR="00CC548C" w:rsidRPr="00603F8C" w:rsidRDefault="00CC548C" w:rsidP="00CC548C">
                  <w:pPr>
                    <w:rPr>
                      <w:sz w:val="20"/>
                      <w:szCs w:val="20"/>
                    </w:rPr>
                  </w:pPr>
                  <w:r w:rsidRPr="00603F8C">
                    <w:rPr>
                      <w:sz w:val="20"/>
                      <w:szCs w:val="20"/>
                    </w:rPr>
                    <w:t xml:space="preserve">    756,647 </w:t>
                  </w:r>
                </w:p>
              </w:tc>
            </w:tr>
            <w:tr w:rsidR="00CC548C" w:rsidRPr="00603F8C" w:rsidTr="00B102B3">
              <w:trPr>
                <w:trHeight w:val="255"/>
              </w:trPr>
              <w:tc>
                <w:tcPr>
                  <w:tcW w:w="988" w:type="dxa"/>
                  <w:noWrap/>
                  <w:hideMark/>
                </w:tcPr>
                <w:p w:rsidR="00CC548C" w:rsidRPr="00603F8C" w:rsidRDefault="00CC548C" w:rsidP="00CC548C">
                  <w:pPr>
                    <w:rPr>
                      <w:sz w:val="20"/>
                      <w:szCs w:val="20"/>
                    </w:rPr>
                  </w:pPr>
                  <w:r w:rsidRPr="00603F8C">
                    <w:rPr>
                      <w:sz w:val="20"/>
                      <w:szCs w:val="20"/>
                    </w:rPr>
                    <w:t>2012</w:t>
                  </w:r>
                </w:p>
              </w:tc>
              <w:tc>
                <w:tcPr>
                  <w:tcW w:w="2268" w:type="dxa"/>
                  <w:noWrap/>
                  <w:hideMark/>
                </w:tcPr>
                <w:p w:rsidR="00CC548C" w:rsidRPr="00603F8C" w:rsidRDefault="00CC548C" w:rsidP="00CC548C">
                  <w:pPr>
                    <w:rPr>
                      <w:sz w:val="20"/>
                      <w:szCs w:val="20"/>
                    </w:rPr>
                  </w:pPr>
                  <w:r w:rsidRPr="00603F8C">
                    <w:rPr>
                      <w:sz w:val="20"/>
                      <w:szCs w:val="20"/>
                    </w:rPr>
                    <w:t xml:space="preserve">    758,520 </w:t>
                  </w:r>
                </w:p>
              </w:tc>
            </w:tr>
            <w:tr w:rsidR="00CC548C" w:rsidRPr="00603F8C" w:rsidTr="00B102B3">
              <w:trPr>
                <w:trHeight w:val="255"/>
              </w:trPr>
              <w:tc>
                <w:tcPr>
                  <w:tcW w:w="988" w:type="dxa"/>
                  <w:noWrap/>
                  <w:hideMark/>
                </w:tcPr>
                <w:p w:rsidR="00CC548C" w:rsidRPr="00603F8C" w:rsidRDefault="00CC548C" w:rsidP="00CC548C">
                  <w:pPr>
                    <w:rPr>
                      <w:sz w:val="20"/>
                      <w:szCs w:val="20"/>
                    </w:rPr>
                  </w:pPr>
                  <w:r w:rsidRPr="00603F8C">
                    <w:rPr>
                      <w:sz w:val="20"/>
                      <w:szCs w:val="20"/>
                    </w:rPr>
                    <w:t>2013</w:t>
                  </w:r>
                </w:p>
              </w:tc>
              <w:tc>
                <w:tcPr>
                  <w:tcW w:w="2268" w:type="dxa"/>
                  <w:noWrap/>
                  <w:hideMark/>
                </w:tcPr>
                <w:p w:rsidR="00CC548C" w:rsidRPr="00603F8C" w:rsidRDefault="00CC548C" w:rsidP="00CC548C">
                  <w:pPr>
                    <w:rPr>
                      <w:sz w:val="20"/>
                      <w:szCs w:val="20"/>
                    </w:rPr>
                  </w:pPr>
                  <w:r w:rsidRPr="00603F8C">
                    <w:rPr>
                      <w:sz w:val="20"/>
                      <w:szCs w:val="20"/>
                    </w:rPr>
                    <w:t xml:space="preserve">    762,345 </w:t>
                  </w:r>
                </w:p>
              </w:tc>
            </w:tr>
            <w:tr w:rsidR="00CC548C" w:rsidRPr="00603F8C" w:rsidTr="00B102B3">
              <w:trPr>
                <w:trHeight w:val="255"/>
              </w:trPr>
              <w:tc>
                <w:tcPr>
                  <w:tcW w:w="988" w:type="dxa"/>
                  <w:noWrap/>
                  <w:hideMark/>
                </w:tcPr>
                <w:p w:rsidR="00CC548C" w:rsidRPr="00603F8C" w:rsidRDefault="00CC548C" w:rsidP="00CC548C">
                  <w:pPr>
                    <w:rPr>
                      <w:sz w:val="20"/>
                      <w:szCs w:val="20"/>
                    </w:rPr>
                  </w:pPr>
                  <w:r w:rsidRPr="00603F8C">
                    <w:rPr>
                      <w:sz w:val="20"/>
                      <w:szCs w:val="20"/>
                    </w:rPr>
                    <w:t>2014</w:t>
                  </w:r>
                </w:p>
              </w:tc>
              <w:tc>
                <w:tcPr>
                  <w:tcW w:w="2268" w:type="dxa"/>
                  <w:noWrap/>
                  <w:hideMark/>
                </w:tcPr>
                <w:p w:rsidR="00CC548C" w:rsidRPr="00603F8C" w:rsidRDefault="00CC548C" w:rsidP="00CC548C">
                  <w:pPr>
                    <w:rPr>
                      <w:sz w:val="20"/>
                      <w:szCs w:val="20"/>
                    </w:rPr>
                  </w:pPr>
                  <w:r w:rsidRPr="00603F8C">
                    <w:rPr>
                      <w:sz w:val="20"/>
                      <w:szCs w:val="20"/>
                    </w:rPr>
                    <w:t xml:space="preserve">    767,378 </w:t>
                  </w:r>
                </w:p>
              </w:tc>
            </w:tr>
            <w:tr w:rsidR="00CC548C" w:rsidRPr="00603F8C" w:rsidTr="00B102B3">
              <w:trPr>
                <w:trHeight w:val="255"/>
              </w:trPr>
              <w:tc>
                <w:tcPr>
                  <w:tcW w:w="988" w:type="dxa"/>
                  <w:noWrap/>
                  <w:hideMark/>
                </w:tcPr>
                <w:p w:rsidR="00CC548C" w:rsidRPr="00603F8C" w:rsidRDefault="00CC548C" w:rsidP="00CC548C">
                  <w:pPr>
                    <w:rPr>
                      <w:sz w:val="20"/>
                      <w:szCs w:val="20"/>
                    </w:rPr>
                  </w:pPr>
                  <w:r w:rsidRPr="00603F8C">
                    <w:rPr>
                      <w:sz w:val="20"/>
                      <w:szCs w:val="20"/>
                    </w:rPr>
                    <w:t>2015</w:t>
                  </w:r>
                </w:p>
              </w:tc>
              <w:tc>
                <w:tcPr>
                  <w:tcW w:w="2268" w:type="dxa"/>
                  <w:noWrap/>
                  <w:hideMark/>
                </w:tcPr>
                <w:p w:rsidR="00CC548C" w:rsidRPr="00603F8C" w:rsidRDefault="00CC548C" w:rsidP="00CC548C">
                  <w:pPr>
                    <w:rPr>
                      <w:sz w:val="20"/>
                      <w:szCs w:val="20"/>
                    </w:rPr>
                  </w:pPr>
                  <w:r w:rsidRPr="00603F8C">
                    <w:rPr>
                      <w:sz w:val="20"/>
                      <w:szCs w:val="20"/>
                    </w:rPr>
                    <w:t xml:space="preserve">    771,133 </w:t>
                  </w:r>
                </w:p>
              </w:tc>
            </w:tr>
            <w:tr w:rsidR="00CC548C" w:rsidRPr="00603F8C" w:rsidTr="00B102B3">
              <w:trPr>
                <w:trHeight w:val="255"/>
              </w:trPr>
              <w:tc>
                <w:tcPr>
                  <w:tcW w:w="988" w:type="dxa"/>
                  <w:noWrap/>
                  <w:hideMark/>
                </w:tcPr>
                <w:p w:rsidR="00CC548C" w:rsidRPr="00603F8C" w:rsidRDefault="00CC548C" w:rsidP="00CC548C">
                  <w:pPr>
                    <w:rPr>
                      <w:sz w:val="20"/>
                      <w:szCs w:val="20"/>
                    </w:rPr>
                  </w:pPr>
                  <w:r w:rsidRPr="00603F8C">
                    <w:rPr>
                      <w:sz w:val="20"/>
                      <w:szCs w:val="20"/>
                    </w:rPr>
                    <w:t>2016</w:t>
                  </w:r>
                </w:p>
              </w:tc>
              <w:tc>
                <w:tcPr>
                  <w:tcW w:w="2268" w:type="dxa"/>
                  <w:noWrap/>
                  <w:hideMark/>
                </w:tcPr>
                <w:p w:rsidR="00CC548C" w:rsidRPr="00603F8C" w:rsidRDefault="00CC548C" w:rsidP="00CC548C">
                  <w:pPr>
                    <w:rPr>
                      <w:sz w:val="20"/>
                      <w:szCs w:val="20"/>
                    </w:rPr>
                  </w:pPr>
                  <w:r w:rsidRPr="00603F8C">
                    <w:rPr>
                      <w:sz w:val="20"/>
                      <w:szCs w:val="20"/>
                    </w:rPr>
                    <w:t xml:space="preserve">    776,526 </w:t>
                  </w:r>
                </w:p>
              </w:tc>
            </w:tr>
            <w:tr w:rsidR="00CC548C" w:rsidRPr="00603F8C" w:rsidTr="00B102B3">
              <w:trPr>
                <w:trHeight w:val="255"/>
              </w:trPr>
              <w:tc>
                <w:tcPr>
                  <w:tcW w:w="988" w:type="dxa"/>
                  <w:noWrap/>
                  <w:hideMark/>
                </w:tcPr>
                <w:p w:rsidR="00CC548C" w:rsidRPr="00603F8C" w:rsidRDefault="00CC548C" w:rsidP="00CC548C">
                  <w:pPr>
                    <w:rPr>
                      <w:sz w:val="20"/>
                      <w:szCs w:val="20"/>
                    </w:rPr>
                  </w:pPr>
                  <w:r w:rsidRPr="00603F8C">
                    <w:rPr>
                      <w:sz w:val="20"/>
                      <w:szCs w:val="20"/>
                    </w:rPr>
                    <w:t>2017</w:t>
                  </w:r>
                </w:p>
              </w:tc>
              <w:tc>
                <w:tcPr>
                  <w:tcW w:w="2268" w:type="dxa"/>
                  <w:noWrap/>
                  <w:hideMark/>
                </w:tcPr>
                <w:p w:rsidR="00CC548C" w:rsidRPr="00603F8C" w:rsidRDefault="00CC548C" w:rsidP="00CC548C">
                  <w:pPr>
                    <w:rPr>
                      <w:sz w:val="20"/>
                      <w:szCs w:val="20"/>
                    </w:rPr>
                  </w:pPr>
                  <w:r w:rsidRPr="00603F8C">
                    <w:rPr>
                      <w:sz w:val="20"/>
                      <w:szCs w:val="20"/>
                    </w:rPr>
                    <w:t xml:space="preserve">    783,272 </w:t>
                  </w:r>
                </w:p>
              </w:tc>
            </w:tr>
            <w:tr w:rsidR="00CC548C" w:rsidRPr="00603F8C" w:rsidTr="00B102B3">
              <w:trPr>
                <w:trHeight w:val="255"/>
              </w:trPr>
              <w:tc>
                <w:tcPr>
                  <w:tcW w:w="988" w:type="dxa"/>
                  <w:noWrap/>
                  <w:hideMark/>
                </w:tcPr>
                <w:p w:rsidR="00CC548C" w:rsidRPr="00603F8C" w:rsidRDefault="00CC548C" w:rsidP="00CC548C">
                  <w:pPr>
                    <w:rPr>
                      <w:sz w:val="20"/>
                      <w:szCs w:val="20"/>
                    </w:rPr>
                  </w:pPr>
                  <w:r w:rsidRPr="00603F8C">
                    <w:rPr>
                      <w:sz w:val="20"/>
                      <w:szCs w:val="20"/>
                    </w:rPr>
                    <w:t>2018</w:t>
                  </w:r>
                </w:p>
              </w:tc>
              <w:tc>
                <w:tcPr>
                  <w:tcW w:w="2268" w:type="dxa"/>
                  <w:noWrap/>
                  <w:hideMark/>
                </w:tcPr>
                <w:p w:rsidR="00CC548C" w:rsidRPr="00603F8C" w:rsidRDefault="00CC548C" w:rsidP="00CC548C">
                  <w:pPr>
                    <w:rPr>
                      <w:sz w:val="20"/>
                      <w:szCs w:val="20"/>
                    </w:rPr>
                  </w:pPr>
                  <w:r w:rsidRPr="00603F8C">
                    <w:rPr>
                      <w:sz w:val="20"/>
                      <w:szCs w:val="20"/>
                    </w:rPr>
                    <w:t xml:space="preserve">    790,328 </w:t>
                  </w:r>
                </w:p>
              </w:tc>
            </w:tr>
            <w:tr w:rsidR="00CC548C" w:rsidRPr="00603F8C" w:rsidTr="00B102B3">
              <w:trPr>
                <w:trHeight w:val="255"/>
              </w:trPr>
              <w:tc>
                <w:tcPr>
                  <w:tcW w:w="988" w:type="dxa"/>
                  <w:noWrap/>
                  <w:hideMark/>
                </w:tcPr>
                <w:p w:rsidR="00CC548C" w:rsidRPr="00603F8C" w:rsidRDefault="00CC548C" w:rsidP="00CC548C">
                  <w:pPr>
                    <w:rPr>
                      <w:sz w:val="20"/>
                      <w:szCs w:val="20"/>
                    </w:rPr>
                  </w:pPr>
                  <w:r w:rsidRPr="00603F8C">
                    <w:rPr>
                      <w:sz w:val="20"/>
                      <w:szCs w:val="20"/>
                    </w:rPr>
                    <w:t>2019</w:t>
                  </w:r>
                </w:p>
              </w:tc>
              <w:tc>
                <w:tcPr>
                  <w:tcW w:w="2268" w:type="dxa"/>
                  <w:noWrap/>
                  <w:hideMark/>
                </w:tcPr>
                <w:p w:rsidR="00CC548C" w:rsidRPr="00603F8C" w:rsidRDefault="00CC548C" w:rsidP="00CC548C">
                  <w:pPr>
                    <w:rPr>
                      <w:sz w:val="20"/>
                      <w:szCs w:val="20"/>
                    </w:rPr>
                  </w:pPr>
                  <w:r w:rsidRPr="00603F8C">
                    <w:rPr>
                      <w:sz w:val="20"/>
                      <w:szCs w:val="20"/>
                    </w:rPr>
                    <w:t xml:space="preserve">    798,971 </w:t>
                  </w:r>
                </w:p>
              </w:tc>
            </w:tr>
          </w:tbl>
          <w:p w:rsidR="00CC548C" w:rsidRDefault="00CC548C" w:rsidP="00823C0A">
            <w:pPr>
              <w:rPr>
                <w:rFonts w:asciiTheme="minorHAnsi" w:hAnsiTheme="minorHAnsi"/>
                <w:sz w:val="20"/>
              </w:rPr>
            </w:pPr>
          </w:p>
          <w:p w:rsidR="00A85CFB" w:rsidRPr="00377F2C" w:rsidRDefault="00A85CFB" w:rsidP="00823C0A">
            <w:pPr>
              <w:rPr>
                <w:rStyle w:val="Hyperlink"/>
                <w:rFonts w:asciiTheme="minorHAnsi" w:hAnsiTheme="minorHAnsi"/>
                <w:sz w:val="20"/>
              </w:rPr>
            </w:pPr>
            <w:r w:rsidRPr="00377F2C">
              <w:rPr>
                <w:rFonts w:asciiTheme="minorHAnsi" w:hAnsiTheme="minorHAnsi"/>
                <w:sz w:val="20"/>
              </w:rPr>
              <w:t xml:space="preserve">Source: </w:t>
            </w:r>
            <w:hyperlink r:id="rId10" w:history="1">
              <w:r w:rsidRPr="00377F2C">
                <w:rPr>
                  <w:rStyle w:val="Hyperlink"/>
                  <w:rFonts w:asciiTheme="minorHAnsi" w:hAnsiTheme="minorHAnsi"/>
                  <w:sz w:val="20"/>
                </w:rPr>
                <w:t>Land &amp; Property Services</w:t>
              </w:r>
            </w:hyperlink>
          </w:p>
          <w:p w:rsidR="001F141E" w:rsidRPr="00B8684A" w:rsidRDefault="001F141E" w:rsidP="00823C0A">
            <w:pPr>
              <w:rPr>
                <w:rFonts w:asciiTheme="minorHAnsi" w:hAnsiTheme="minorHAnsi"/>
                <w:sz w:val="20"/>
                <w:highlight w:val="yellow"/>
              </w:rPr>
            </w:pPr>
          </w:p>
          <w:p w:rsidR="00A85CFB" w:rsidRPr="00B8684A" w:rsidRDefault="00A85CFB" w:rsidP="00952736">
            <w:pPr>
              <w:rPr>
                <w:rFonts w:asciiTheme="minorHAnsi" w:hAnsiTheme="minorHAnsi"/>
                <w:sz w:val="20"/>
                <w:szCs w:val="20"/>
                <w:highlight w:val="yellow"/>
              </w:rPr>
            </w:pPr>
            <w:r w:rsidRPr="00377F2C">
              <w:rPr>
                <w:rFonts w:asciiTheme="minorHAnsi" w:hAnsiTheme="minorHAnsi"/>
                <w:sz w:val="20"/>
              </w:rPr>
              <w:t xml:space="preserve">Note. In line with the Rates Order (NI) 1977, Housing Stock is defined as a count of properties which are valued as domestic or mixed for the purposes of rating. This refers to properties in the Valuation List which are used (or when next in use, will be used) for the purposes of a private dwelling.  This includes properties which are temporary incapable of beneficial occupation, but excludes Caravans, Domestic Garages, Domestic Stores and Car Parking Spaces.  </w:t>
            </w:r>
          </w:p>
        </w:tc>
      </w:tr>
      <w:tr w:rsidR="00A85CFB" w:rsidRPr="008F671D" w:rsidTr="00952736">
        <w:trPr>
          <w:trHeight w:val="687"/>
        </w:trPr>
        <w:tc>
          <w:tcPr>
            <w:tcW w:w="3369" w:type="dxa"/>
            <w:shd w:val="clear" w:color="auto" w:fill="D9D9D9" w:themeFill="background1" w:themeFillShade="D9"/>
            <w:vAlign w:val="center"/>
          </w:tcPr>
          <w:p w:rsidR="00A85CFB" w:rsidRPr="00345E2E" w:rsidRDefault="00A85CFB" w:rsidP="00C06DF4">
            <w:pPr>
              <w:rPr>
                <w:rFonts w:asciiTheme="minorHAnsi" w:hAnsiTheme="minorHAnsi"/>
                <w:b/>
                <w:sz w:val="20"/>
                <w:szCs w:val="20"/>
                <w:u w:val="single"/>
              </w:rPr>
            </w:pPr>
            <w:r w:rsidRPr="00345E2E">
              <w:rPr>
                <w:rFonts w:asciiTheme="minorHAnsi" w:hAnsiTheme="minorHAnsi"/>
                <w:b/>
                <w:sz w:val="20"/>
                <w:szCs w:val="20"/>
                <w:u w:val="single"/>
              </w:rPr>
              <w:t xml:space="preserve">For Survey Data </w:t>
            </w:r>
          </w:p>
          <w:p w:rsidR="00A85CFB" w:rsidRPr="00345E2E" w:rsidRDefault="00A85CFB" w:rsidP="00C06DF4">
            <w:pPr>
              <w:rPr>
                <w:rFonts w:asciiTheme="minorHAnsi" w:hAnsiTheme="minorHAnsi"/>
                <w:b/>
                <w:sz w:val="20"/>
                <w:szCs w:val="20"/>
              </w:rPr>
            </w:pPr>
            <w:r>
              <w:rPr>
                <w:rFonts w:asciiTheme="minorHAnsi" w:hAnsiTheme="minorHAnsi"/>
                <w:b/>
                <w:sz w:val="20"/>
                <w:szCs w:val="20"/>
              </w:rPr>
              <w:t>S</w:t>
            </w:r>
            <w:r w:rsidRPr="00345E2E">
              <w:rPr>
                <w:rFonts w:asciiTheme="minorHAnsi" w:hAnsiTheme="minorHAnsi"/>
                <w:b/>
                <w:sz w:val="20"/>
                <w:szCs w:val="20"/>
              </w:rPr>
              <w:t>ample size and confidence interval for the latest available year:</w:t>
            </w:r>
          </w:p>
        </w:tc>
        <w:tc>
          <w:tcPr>
            <w:tcW w:w="7229" w:type="dxa"/>
            <w:gridSpan w:val="2"/>
            <w:vAlign w:val="center"/>
          </w:tcPr>
          <w:p w:rsidR="00A85CFB" w:rsidRPr="008F671D" w:rsidRDefault="00A85CFB" w:rsidP="00FB47D0">
            <w:pPr>
              <w:rPr>
                <w:rFonts w:asciiTheme="minorHAnsi" w:hAnsiTheme="minorHAnsi"/>
                <w:sz w:val="20"/>
              </w:rPr>
            </w:pPr>
            <w:r w:rsidRPr="008F671D">
              <w:rPr>
                <w:rFonts w:asciiTheme="minorHAnsi" w:hAnsiTheme="minorHAnsi"/>
                <w:sz w:val="20"/>
              </w:rPr>
              <w:t>Sample size:</w:t>
            </w:r>
            <w:r>
              <w:rPr>
                <w:rFonts w:asciiTheme="minorHAnsi" w:hAnsiTheme="minorHAnsi"/>
                <w:sz w:val="20"/>
              </w:rPr>
              <w:t xml:space="preserve"> </w:t>
            </w:r>
            <w:r w:rsidR="00F16D3B">
              <w:rPr>
                <w:rFonts w:asciiTheme="minorHAnsi" w:hAnsiTheme="minorHAnsi"/>
                <w:sz w:val="20"/>
              </w:rPr>
              <w:t>N/A</w:t>
            </w:r>
          </w:p>
          <w:p w:rsidR="00A85CFB" w:rsidRPr="008F671D" w:rsidRDefault="00A85CFB" w:rsidP="00235BC7">
            <w:pPr>
              <w:rPr>
                <w:rFonts w:asciiTheme="minorHAnsi" w:hAnsiTheme="minorHAnsi"/>
                <w:sz w:val="20"/>
              </w:rPr>
            </w:pPr>
            <w:r w:rsidRPr="008F671D">
              <w:rPr>
                <w:rFonts w:asciiTheme="minorHAnsi" w:hAnsiTheme="minorHAnsi"/>
                <w:sz w:val="20"/>
              </w:rPr>
              <w:t>Confidence interval:</w:t>
            </w:r>
            <w:r>
              <w:rPr>
                <w:rFonts w:asciiTheme="minorHAnsi" w:hAnsiTheme="minorHAnsi"/>
                <w:sz w:val="20"/>
              </w:rPr>
              <w:t xml:space="preserve"> </w:t>
            </w:r>
            <w:r w:rsidR="00F16D3B">
              <w:rPr>
                <w:rFonts w:asciiTheme="minorHAnsi" w:hAnsiTheme="minorHAnsi"/>
                <w:sz w:val="20"/>
              </w:rPr>
              <w:t>N/A</w:t>
            </w:r>
          </w:p>
        </w:tc>
      </w:tr>
      <w:tr w:rsidR="00977923" w:rsidRPr="008F671D" w:rsidTr="00952736">
        <w:trPr>
          <w:trHeight w:val="1134"/>
        </w:trPr>
        <w:tc>
          <w:tcPr>
            <w:tcW w:w="3369" w:type="dxa"/>
            <w:shd w:val="clear" w:color="auto" w:fill="D9D9D9" w:themeFill="background1" w:themeFillShade="D9"/>
            <w:vAlign w:val="center"/>
          </w:tcPr>
          <w:p w:rsidR="00977923" w:rsidRPr="008F671D" w:rsidRDefault="00977923" w:rsidP="00FB47D0">
            <w:pPr>
              <w:rPr>
                <w:rFonts w:asciiTheme="minorHAnsi" w:hAnsiTheme="minorHAnsi"/>
                <w:b/>
                <w:sz w:val="20"/>
              </w:rPr>
            </w:pPr>
            <w:r w:rsidRPr="008F671D">
              <w:rPr>
                <w:rFonts w:asciiTheme="minorHAnsi" w:hAnsiTheme="minorHAnsi"/>
                <w:b/>
                <w:sz w:val="20"/>
              </w:rPr>
              <w:t>Please indicate whether UK/R</w:t>
            </w:r>
            <w:r w:rsidR="00FB47D0" w:rsidRPr="008F671D">
              <w:rPr>
                <w:rFonts w:asciiTheme="minorHAnsi" w:hAnsiTheme="minorHAnsi"/>
                <w:b/>
                <w:sz w:val="20"/>
              </w:rPr>
              <w:t>o</w:t>
            </w:r>
            <w:r w:rsidRPr="008F671D">
              <w:rPr>
                <w:rFonts w:asciiTheme="minorHAnsi" w:hAnsiTheme="minorHAnsi"/>
                <w:b/>
                <w:sz w:val="20"/>
              </w:rPr>
              <w:t>I/International Comparisons are available</w:t>
            </w:r>
            <w:r w:rsidR="00FB47D0" w:rsidRPr="008F671D">
              <w:rPr>
                <w:rFonts w:asciiTheme="minorHAnsi" w:hAnsiTheme="minorHAnsi"/>
                <w:b/>
                <w:sz w:val="20"/>
              </w:rPr>
              <w:t>:</w:t>
            </w:r>
          </w:p>
        </w:tc>
        <w:tc>
          <w:tcPr>
            <w:tcW w:w="7229" w:type="dxa"/>
            <w:gridSpan w:val="2"/>
            <w:vAlign w:val="center"/>
          </w:tcPr>
          <w:p w:rsidR="00E5374D" w:rsidRDefault="00E5374D" w:rsidP="00823C0A">
            <w:pPr>
              <w:rPr>
                <w:rFonts w:asciiTheme="minorHAnsi" w:hAnsiTheme="minorHAnsi"/>
                <w:sz w:val="20"/>
              </w:rPr>
            </w:pPr>
            <w:r w:rsidRPr="00E5374D">
              <w:rPr>
                <w:rFonts w:asciiTheme="minorHAnsi" w:hAnsiTheme="minorHAnsi"/>
                <w:sz w:val="20"/>
              </w:rPr>
              <w:t>There are difficulties in providing full coherence due to the differences in methods and definitions used across the devolved countries of the UK.</w:t>
            </w:r>
          </w:p>
          <w:p w:rsidR="000E75A3" w:rsidRDefault="00E64CD3" w:rsidP="00823C0A">
            <w:pPr>
              <w:rPr>
                <w:rFonts w:asciiTheme="minorHAnsi" w:hAnsiTheme="minorHAnsi"/>
                <w:sz w:val="20"/>
              </w:rPr>
            </w:pPr>
            <w:hyperlink r:id="rId11" w:history="1">
              <w:r w:rsidR="000E75A3" w:rsidRPr="00C7251A">
                <w:rPr>
                  <w:rStyle w:val="Hyperlink"/>
                  <w:rFonts w:asciiTheme="minorHAnsi" w:hAnsiTheme="minorHAnsi"/>
                  <w:sz w:val="20"/>
                </w:rPr>
                <w:t>https://www.gov.uk/government/statistics/dwelling-stock-estimates-in-england-2018</w:t>
              </w:r>
            </w:hyperlink>
          </w:p>
          <w:p w:rsidR="00FB47D0" w:rsidRDefault="00E64CD3" w:rsidP="00823C0A">
            <w:pPr>
              <w:rPr>
                <w:rFonts w:asciiTheme="minorHAnsi" w:hAnsiTheme="minorHAnsi"/>
                <w:sz w:val="20"/>
              </w:rPr>
            </w:pPr>
            <w:hyperlink r:id="rId12" w:history="1">
              <w:r w:rsidR="000E75A3" w:rsidRPr="00C7251A">
                <w:rPr>
                  <w:rStyle w:val="Hyperlink"/>
                  <w:rFonts w:asciiTheme="minorHAnsi" w:hAnsiTheme="minorHAnsi"/>
                  <w:sz w:val="20"/>
                </w:rPr>
                <w:t>https://gov.wales/estimates-housing-need-wales-tenure-2018-based</w:t>
              </w:r>
            </w:hyperlink>
          </w:p>
          <w:p w:rsidR="000E75A3" w:rsidRDefault="00E64CD3" w:rsidP="00823C0A">
            <w:pPr>
              <w:rPr>
                <w:rFonts w:asciiTheme="minorHAnsi" w:hAnsiTheme="minorHAnsi"/>
                <w:sz w:val="20"/>
              </w:rPr>
            </w:pPr>
            <w:hyperlink r:id="rId13" w:history="1">
              <w:r w:rsidR="000E75A3" w:rsidRPr="00C7251A">
                <w:rPr>
                  <w:rStyle w:val="Hyperlink"/>
                  <w:rFonts w:asciiTheme="minorHAnsi" w:hAnsiTheme="minorHAnsi"/>
                  <w:sz w:val="20"/>
                </w:rPr>
                <w:t>https://www2.gov.scot/Topics/Statistics/Browse/Housing-Regeneration?utm_source=website&amp;utm_medium=navigation&amp;utm_campaign=statistics-topics</w:t>
              </w:r>
            </w:hyperlink>
          </w:p>
          <w:p w:rsidR="000E75A3" w:rsidRDefault="000E75A3" w:rsidP="00823C0A">
            <w:pPr>
              <w:rPr>
                <w:rFonts w:asciiTheme="minorHAnsi" w:hAnsiTheme="minorHAnsi"/>
                <w:sz w:val="20"/>
              </w:rPr>
            </w:pPr>
          </w:p>
          <w:p w:rsidR="00404AD8" w:rsidRPr="008F671D" w:rsidRDefault="00404AD8" w:rsidP="000E75A3">
            <w:pPr>
              <w:rPr>
                <w:rFonts w:asciiTheme="minorHAnsi" w:hAnsiTheme="minorHAnsi"/>
                <w:sz w:val="20"/>
              </w:rPr>
            </w:pPr>
          </w:p>
        </w:tc>
      </w:tr>
      <w:tr w:rsidR="00977923" w:rsidRPr="008F671D" w:rsidTr="00952736">
        <w:trPr>
          <w:trHeight w:val="1134"/>
        </w:trPr>
        <w:tc>
          <w:tcPr>
            <w:tcW w:w="3369" w:type="dxa"/>
            <w:shd w:val="clear" w:color="auto" w:fill="D9D9D9" w:themeFill="background1" w:themeFillShade="D9"/>
            <w:vAlign w:val="center"/>
          </w:tcPr>
          <w:p w:rsidR="00977923" w:rsidRPr="008F671D" w:rsidRDefault="001668A0" w:rsidP="001849F8">
            <w:pPr>
              <w:rPr>
                <w:rFonts w:asciiTheme="minorHAnsi" w:hAnsiTheme="minorHAnsi"/>
                <w:b/>
                <w:sz w:val="20"/>
              </w:rPr>
            </w:pPr>
            <w:r w:rsidRPr="008F671D">
              <w:rPr>
                <w:rFonts w:asciiTheme="minorHAnsi" w:hAnsiTheme="minorHAnsi"/>
                <w:b/>
                <w:sz w:val="20"/>
              </w:rPr>
              <w:lastRenderedPageBreak/>
              <w:t>Please specify</w:t>
            </w:r>
            <w:r w:rsidR="00977923" w:rsidRPr="008F671D">
              <w:rPr>
                <w:rFonts w:asciiTheme="minorHAnsi" w:hAnsiTheme="minorHAnsi"/>
                <w:b/>
                <w:sz w:val="20"/>
              </w:rPr>
              <w:t xml:space="preserve"> any</w:t>
            </w:r>
            <w:r w:rsidR="001849F8">
              <w:rPr>
                <w:rFonts w:asciiTheme="minorHAnsi" w:hAnsiTheme="minorHAnsi"/>
                <w:b/>
                <w:sz w:val="20"/>
              </w:rPr>
              <w:t xml:space="preserve"> issues </w:t>
            </w:r>
            <w:r w:rsidR="00977923" w:rsidRPr="008F671D">
              <w:rPr>
                <w:rFonts w:asciiTheme="minorHAnsi" w:hAnsiTheme="minorHAnsi"/>
                <w:b/>
                <w:sz w:val="20"/>
              </w:rPr>
              <w:t xml:space="preserve">in relation to </w:t>
            </w:r>
            <w:r w:rsidR="001849F8">
              <w:rPr>
                <w:rFonts w:asciiTheme="minorHAnsi" w:hAnsiTheme="minorHAnsi"/>
                <w:b/>
                <w:sz w:val="20"/>
              </w:rPr>
              <w:t xml:space="preserve">this data. For example, data limitations, future </w:t>
            </w:r>
            <w:r w:rsidR="00977923" w:rsidRPr="008F671D">
              <w:rPr>
                <w:rFonts w:asciiTheme="minorHAnsi" w:hAnsiTheme="minorHAnsi"/>
                <w:b/>
                <w:sz w:val="20"/>
              </w:rPr>
              <w:t>data availability</w:t>
            </w:r>
            <w:r w:rsidR="001849F8">
              <w:rPr>
                <w:rFonts w:asciiTheme="minorHAnsi" w:hAnsiTheme="minorHAnsi"/>
                <w:b/>
                <w:sz w:val="20"/>
              </w:rPr>
              <w:t>, any</w:t>
            </w:r>
            <w:r w:rsidR="00977923" w:rsidRPr="008F671D">
              <w:rPr>
                <w:rFonts w:asciiTheme="minorHAnsi" w:hAnsiTheme="minorHAnsi"/>
                <w:b/>
                <w:sz w:val="20"/>
              </w:rPr>
              <w:t xml:space="preserve"> changes to methodology </w:t>
            </w:r>
          </w:p>
        </w:tc>
        <w:tc>
          <w:tcPr>
            <w:tcW w:w="7229" w:type="dxa"/>
            <w:gridSpan w:val="2"/>
            <w:vAlign w:val="center"/>
          </w:tcPr>
          <w:p w:rsidR="005E386D" w:rsidRPr="008F671D" w:rsidRDefault="005E386D" w:rsidP="00823C0A">
            <w:pPr>
              <w:rPr>
                <w:rFonts w:asciiTheme="minorHAnsi" w:hAnsiTheme="minorHAnsi"/>
                <w:sz w:val="20"/>
              </w:rPr>
            </w:pPr>
          </w:p>
        </w:tc>
      </w:tr>
      <w:tr w:rsidR="00A85CFB" w:rsidRPr="008F671D" w:rsidTr="008F671D">
        <w:trPr>
          <w:trHeight w:val="340"/>
        </w:trPr>
        <w:tc>
          <w:tcPr>
            <w:tcW w:w="9180" w:type="dxa"/>
            <w:gridSpan w:val="2"/>
            <w:shd w:val="clear" w:color="auto" w:fill="D9D9D9" w:themeFill="background1" w:themeFillShade="D9"/>
            <w:vAlign w:val="center"/>
          </w:tcPr>
          <w:p w:rsidR="00A85CFB" w:rsidRPr="00907690" w:rsidRDefault="00A85CFB" w:rsidP="00C06DF4">
            <w:pPr>
              <w:rPr>
                <w:rFonts w:asciiTheme="minorHAnsi" w:hAnsiTheme="minorHAnsi"/>
                <w:b/>
                <w:sz w:val="20"/>
                <w:szCs w:val="20"/>
              </w:rPr>
            </w:pPr>
            <w:r w:rsidRPr="00907690">
              <w:rPr>
                <w:rFonts w:asciiTheme="minorHAnsi" w:hAnsiTheme="minorHAnsi"/>
                <w:b/>
                <w:sz w:val="20"/>
                <w:szCs w:val="20"/>
              </w:rPr>
              <w:t>Is this measure being used to monitor performance against your current/latest Departmental/ Agency Plan</w:t>
            </w:r>
          </w:p>
        </w:tc>
        <w:tc>
          <w:tcPr>
            <w:tcW w:w="1418" w:type="dxa"/>
          </w:tcPr>
          <w:p w:rsidR="00A85CFB" w:rsidRPr="008F671D" w:rsidRDefault="00A85CFB" w:rsidP="00952736">
            <w:pPr>
              <w:rPr>
                <w:rFonts w:asciiTheme="minorHAnsi" w:hAnsiTheme="minorHAnsi"/>
                <w:sz w:val="20"/>
              </w:rPr>
            </w:pPr>
            <w:r>
              <w:rPr>
                <w:rFonts w:asciiTheme="minorHAnsi" w:hAnsiTheme="minorHAnsi"/>
                <w:sz w:val="20"/>
              </w:rPr>
              <w:t>No</w:t>
            </w:r>
          </w:p>
        </w:tc>
      </w:tr>
      <w:tr w:rsidR="00A85CFB" w:rsidRPr="008F671D" w:rsidTr="00FB47D0">
        <w:tc>
          <w:tcPr>
            <w:tcW w:w="9180" w:type="dxa"/>
            <w:gridSpan w:val="2"/>
            <w:shd w:val="clear" w:color="auto" w:fill="D9D9D9" w:themeFill="background1" w:themeFillShade="D9"/>
            <w:vAlign w:val="center"/>
          </w:tcPr>
          <w:p w:rsidR="00A85CFB" w:rsidRPr="00907690" w:rsidRDefault="00A85CFB" w:rsidP="00C06DF4">
            <w:pPr>
              <w:rPr>
                <w:rFonts w:asciiTheme="minorHAnsi" w:hAnsiTheme="minorHAnsi"/>
                <w:b/>
                <w:sz w:val="20"/>
                <w:szCs w:val="20"/>
              </w:rPr>
            </w:pPr>
            <w:r w:rsidRPr="00907690">
              <w:rPr>
                <w:rFonts w:asciiTheme="minorHAnsi" w:hAnsiTheme="minorHAnsi"/>
                <w:b/>
                <w:sz w:val="20"/>
                <w:szCs w:val="20"/>
              </w:rPr>
              <w:t>If yes, please specify any particular baseline point/year for the measure which is being for performance monitoring purposes</w:t>
            </w:r>
          </w:p>
        </w:tc>
        <w:tc>
          <w:tcPr>
            <w:tcW w:w="1418" w:type="dxa"/>
          </w:tcPr>
          <w:p w:rsidR="00A85CFB" w:rsidRPr="008F671D" w:rsidRDefault="00A85CFB" w:rsidP="003E6FDF">
            <w:pPr>
              <w:rPr>
                <w:rFonts w:asciiTheme="minorHAnsi" w:hAnsiTheme="minorHAnsi"/>
                <w:sz w:val="20"/>
              </w:rPr>
            </w:pPr>
          </w:p>
        </w:tc>
      </w:tr>
    </w:tbl>
    <w:p w:rsidR="005B441A" w:rsidRDefault="005B441A" w:rsidP="005B441A">
      <w:pPr>
        <w:rPr>
          <w:rFonts w:asciiTheme="minorHAnsi" w:hAnsiTheme="minorHAnsi"/>
          <w:sz w:val="20"/>
          <w:szCs w:val="20"/>
        </w:rPr>
      </w:pPr>
    </w:p>
    <w:tbl>
      <w:tblPr>
        <w:tblStyle w:val="TableGrid1"/>
        <w:tblW w:w="10632" w:type="dxa"/>
        <w:tblInd w:w="-5" w:type="dxa"/>
        <w:tblLayout w:type="fixed"/>
        <w:tblLook w:val="04A0" w:firstRow="1" w:lastRow="0" w:firstColumn="1" w:lastColumn="0" w:noHBand="0" w:noVBand="1"/>
      </w:tblPr>
      <w:tblGrid>
        <w:gridCol w:w="3402"/>
        <w:gridCol w:w="7230"/>
      </w:tblGrid>
      <w:tr w:rsidR="005B441A" w:rsidRPr="00DC13FC" w:rsidTr="005B441A">
        <w:tc>
          <w:tcPr>
            <w:tcW w:w="3402" w:type="dxa"/>
            <w:shd w:val="clear" w:color="auto" w:fill="D9D9D9" w:themeFill="background1" w:themeFillShade="D9"/>
          </w:tcPr>
          <w:p w:rsidR="005B441A" w:rsidRPr="00DC13FC" w:rsidRDefault="005B441A" w:rsidP="00F945FE">
            <w:pPr>
              <w:rPr>
                <w:rFonts w:asciiTheme="minorHAnsi" w:hAnsiTheme="minorHAnsi"/>
                <w:b/>
                <w:sz w:val="20"/>
                <w:szCs w:val="20"/>
              </w:rPr>
            </w:pPr>
            <w:r w:rsidRPr="00DC13FC">
              <w:rPr>
                <w:rFonts w:asciiTheme="minorHAnsi" w:hAnsiTheme="minorHAnsi"/>
                <w:b/>
                <w:sz w:val="20"/>
                <w:szCs w:val="20"/>
              </w:rPr>
              <w:t>Technical Assessment Panel</w:t>
            </w:r>
          </w:p>
        </w:tc>
        <w:tc>
          <w:tcPr>
            <w:tcW w:w="7230" w:type="dxa"/>
          </w:tcPr>
          <w:p w:rsidR="005B441A" w:rsidRPr="00DC13FC" w:rsidRDefault="005B441A" w:rsidP="00F945FE">
            <w:pPr>
              <w:rPr>
                <w:rFonts w:asciiTheme="minorHAnsi" w:hAnsiTheme="minorHAnsi"/>
                <w:sz w:val="20"/>
                <w:szCs w:val="20"/>
              </w:rPr>
            </w:pPr>
          </w:p>
        </w:tc>
      </w:tr>
      <w:tr w:rsidR="005B441A" w:rsidRPr="00DC13FC" w:rsidTr="005B441A">
        <w:tc>
          <w:tcPr>
            <w:tcW w:w="3402" w:type="dxa"/>
            <w:shd w:val="clear" w:color="auto" w:fill="D9D9D9" w:themeFill="background1" w:themeFillShade="D9"/>
          </w:tcPr>
          <w:p w:rsidR="005B441A" w:rsidRPr="00DC13FC" w:rsidRDefault="005B441A" w:rsidP="00F945FE">
            <w:pPr>
              <w:rPr>
                <w:rFonts w:asciiTheme="minorHAnsi" w:hAnsiTheme="minorHAnsi"/>
                <w:b/>
                <w:sz w:val="20"/>
                <w:szCs w:val="20"/>
              </w:rPr>
            </w:pPr>
            <w:r w:rsidRPr="00DC13FC">
              <w:rPr>
                <w:rFonts w:asciiTheme="minorHAnsi" w:hAnsiTheme="minorHAnsi"/>
                <w:b/>
                <w:sz w:val="20"/>
                <w:szCs w:val="20"/>
              </w:rPr>
              <w:t>Baseline Year</w:t>
            </w:r>
          </w:p>
        </w:tc>
        <w:tc>
          <w:tcPr>
            <w:tcW w:w="7230" w:type="dxa"/>
          </w:tcPr>
          <w:p w:rsidR="005B441A" w:rsidRPr="00DC13FC" w:rsidRDefault="003C4441" w:rsidP="00F945FE">
            <w:pPr>
              <w:rPr>
                <w:rFonts w:asciiTheme="minorHAnsi" w:hAnsiTheme="minorHAnsi"/>
                <w:sz w:val="20"/>
                <w:szCs w:val="20"/>
              </w:rPr>
            </w:pPr>
            <w:r>
              <w:rPr>
                <w:rFonts w:asciiTheme="minorHAnsi" w:hAnsiTheme="minorHAnsi"/>
                <w:sz w:val="20"/>
                <w:szCs w:val="20"/>
              </w:rPr>
              <w:t>2015</w:t>
            </w:r>
          </w:p>
        </w:tc>
      </w:tr>
      <w:tr w:rsidR="005B441A" w:rsidRPr="00DC13FC" w:rsidTr="005B441A">
        <w:trPr>
          <w:trHeight w:val="496"/>
        </w:trPr>
        <w:tc>
          <w:tcPr>
            <w:tcW w:w="3402" w:type="dxa"/>
            <w:shd w:val="clear" w:color="auto" w:fill="D9D9D9" w:themeFill="background1" w:themeFillShade="D9"/>
          </w:tcPr>
          <w:p w:rsidR="005B441A" w:rsidRPr="00DC13FC" w:rsidRDefault="005B441A" w:rsidP="00F945FE">
            <w:pPr>
              <w:rPr>
                <w:rFonts w:asciiTheme="minorHAnsi" w:hAnsiTheme="minorHAnsi"/>
                <w:b/>
                <w:sz w:val="20"/>
                <w:szCs w:val="20"/>
              </w:rPr>
            </w:pPr>
            <w:r w:rsidRPr="00DC13FC">
              <w:rPr>
                <w:rFonts w:asciiTheme="minorHAnsi" w:hAnsiTheme="minorHAnsi"/>
                <w:b/>
                <w:sz w:val="20"/>
                <w:szCs w:val="20"/>
              </w:rPr>
              <w:t>Criteria for reporting change from the baseline</w:t>
            </w:r>
          </w:p>
        </w:tc>
        <w:tc>
          <w:tcPr>
            <w:tcW w:w="7230" w:type="dxa"/>
          </w:tcPr>
          <w:p w:rsidR="003C4441" w:rsidRPr="003C4441" w:rsidRDefault="003C4441" w:rsidP="003C4441">
            <w:pPr>
              <w:rPr>
                <w:rFonts w:asciiTheme="minorHAnsi" w:hAnsiTheme="minorHAnsi" w:cstheme="minorHAnsi"/>
                <w:color w:val="000000"/>
                <w:sz w:val="20"/>
                <w:szCs w:val="20"/>
              </w:rPr>
            </w:pPr>
            <w:r w:rsidRPr="003C4441">
              <w:rPr>
                <w:rFonts w:asciiTheme="minorHAnsi" w:hAnsiTheme="minorHAnsi" w:cstheme="minorHAnsi"/>
                <w:color w:val="000000"/>
                <w:sz w:val="20"/>
                <w:szCs w:val="20"/>
              </w:rPr>
              <w:t>Improvement: +6,700 in housing stock cumulative on an annual basis</w:t>
            </w:r>
          </w:p>
          <w:p w:rsidR="005B441A" w:rsidRPr="00DC13FC" w:rsidRDefault="003C4441" w:rsidP="003C4441">
            <w:pPr>
              <w:rPr>
                <w:rFonts w:asciiTheme="minorHAnsi" w:hAnsiTheme="minorHAnsi"/>
                <w:sz w:val="20"/>
                <w:szCs w:val="20"/>
              </w:rPr>
            </w:pPr>
            <w:r w:rsidRPr="003C4441">
              <w:rPr>
                <w:rFonts w:asciiTheme="minorHAnsi" w:hAnsiTheme="minorHAnsi" w:cstheme="minorHAnsi"/>
                <w:color w:val="000000"/>
                <w:sz w:val="20"/>
                <w:szCs w:val="20"/>
              </w:rPr>
              <w:t>Worsening: Housing stock falls below 2015 baseline level</w:t>
            </w:r>
          </w:p>
        </w:tc>
      </w:tr>
    </w:tbl>
    <w:p w:rsidR="005B441A" w:rsidRPr="008F671D" w:rsidRDefault="005B441A">
      <w:pPr>
        <w:rPr>
          <w:rFonts w:asciiTheme="minorHAnsi" w:hAnsiTheme="minorHAnsi"/>
        </w:rPr>
      </w:pPr>
    </w:p>
    <w:tbl>
      <w:tblPr>
        <w:tblStyle w:val="TableGrid"/>
        <w:tblW w:w="9658" w:type="dxa"/>
        <w:tblLook w:val="04A0" w:firstRow="1" w:lastRow="0" w:firstColumn="1" w:lastColumn="0" w:noHBand="0" w:noVBand="1"/>
      </w:tblPr>
      <w:tblGrid>
        <w:gridCol w:w="4219"/>
        <w:gridCol w:w="903"/>
        <w:gridCol w:w="4536"/>
      </w:tblGrid>
      <w:tr w:rsidR="00BD4124" w:rsidRPr="008F671D" w:rsidTr="00823C0A">
        <w:trPr>
          <w:trHeight w:val="454"/>
        </w:trPr>
        <w:tc>
          <w:tcPr>
            <w:tcW w:w="4219" w:type="dxa"/>
            <w:tcBorders>
              <w:top w:val="nil"/>
              <w:left w:val="nil"/>
            </w:tcBorders>
            <w:shd w:val="clear" w:color="auto" w:fill="auto"/>
            <w:vAlign w:val="center"/>
          </w:tcPr>
          <w:p w:rsidR="00BD4124" w:rsidRPr="008F671D" w:rsidRDefault="00823C0A" w:rsidP="00FB47D0">
            <w:pPr>
              <w:rPr>
                <w:rFonts w:asciiTheme="minorHAnsi" w:hAnsiTheme="minorHAnsi"/>
                <w:b/>
                <w:sz w:val="20"/>
              </w:rPr>
            </w:pPr>
            <w:r>
              <w:rPr>
                <w:rFonts w:asciiTheme="minorHAnsi" w:hAnsiTheme="minorHAnsi"/>
                <w:b/>
                <w:sz w:val="20"/>
                <w:szCs w:val="20"/>
              </w:rPr>
              <w:t>Available groupings*</w:t>
            </w:r>
          </w:p>
        </w:tc>
        <w:tc>
          <w:tcPr>
            <w:tcW w:w="903" w:type="dxa"/>
            <w:vAlign w:val="center"/>
          </w:tcPr>
          <w:p w:rsidR="00BD4124" w:rsidRPr="00F81E8B" w:rsidRDefault="00BD4124" w:rsidP="00F81E8B">
            <w:pPr>
              <w:rPr>
                <w:rFonts w:asciiTheme="minorHAnsi" w:hAnsiTheme="minorHAnsi"/>
                <w:b/>
                <w:sz w:val="20"/>
              </w:rPr>
            </w:pPr>
            <w:r w:rsidRPr="00F81E8B">
              <w:rPr>
                <w:rFonts w:asciiTheme="minorHAnsi" w:hAnsiTheme="minorHAnsi"/>
                <w:b/>
                <w:sz w:val="20"/>
              </w:rPr>
              <w:t>Yes/No</w:t>
            </w:r>
          </w:p>
        </w:tc>
        <w:tc>
          <w:tcPr>
            <w:tcW w:w="4536" w:type="dxa"/>
            <w:vAlign w:val="center"/>
          </w:tcPr>
          <w:p w:rsidR="00BD4124" w:rsidRPr="00F81E8B" w:rsidRDefault="00BD4124" w:rsidP="00F81E8B">
            <w:pPr>
              <w:rPr>
                <w:rFonts w:asciiTheme="minorHAnsi" w:hAnsiTheme="minorHAnsi"/>
                <w:b/>
                <w:sz w:val="20"/>
              </w:rPr>
            </w:pPr>
            <w:r w:rsidRPr="00F81E8B">
              <w:rPr>
                <w:rFonts w:asciiTheme="minorHAnsi" w:hAnsiTheme="minorHAnsi"/>
                <w:b/>
                <w:sz w:val="20"/>
              </w:rPr>
              <w:t>Notes</w:t>
            </w: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 xml:space="preserve"> NI Level</w:t>
            </w:r>
          </w:p>
        </w:tc>
        <w:tc>
          <w:tcPr>
            <w:tcW w:w="903" w:type="dxa"/>
            <w:vAlign w:val="center"/>
          </w:tcPr>
          <w:p w:rsidR="00A85CFB" w:rsidRDefault="00A85CFB" w:rsidP="00823C0A">
            <w:pPr>
              <w:rPr>
                <w:rFonts w:asciiTheme="minorHAnsi" w:hAnsiTheme="minorHAnsi"/>
                <w:sz w:val="20"/>
              </w:rPr>
            </w:pPr>
          </w:p>
          <w:p w:rsidR="00A85CFB" w:rsidRPr="008F671D" w:rsidRDefault="00A85CFB" w:rsidP="00823C0A">
            <w:pPr>
              <w:rPr>
                <w:rFonts w:asciiTheme="minorHAnsi" w:hAnsiTheme="minorHAnsi"/>
                <w:sz w:val="20"/>
              </w:rPr>
            </w:pPr>
            <w:r>
              <w:rPr>
                <w:rFonts w:asciiTheme="minorHAnsi" w:hAnsiTheme="minorHAnsi"/>
                <w:sz w:val="20"/>
              </w:rPr>
              <w:t>Yes</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Parliamentary Constituency level</w:t>
            </w:r>
          </w:p>
        </w:tc>
        <w:tc>
          <w:tcPr>
            <w:tcW w:w="903" w:type="dxa"/>
            <w:vAlign w:val="center"/>
          </w:tcPr>
          <w:p w:rsidR="00A85CFB" w:rsidRPr="008F671D" w:rsidRDefault="00A85CFB"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Pr>
                <w:rFonts w:asciiTheme="minorHAnsi" w:hAnsiTheme="minorHAnsi"/>
                <w:b/>
                <w:sz w:val="20"/>
                <w:szCs w:val="20"/>
              </w:rPr>
              <w:t>Local Government District (2014) level</w:t>
            </w:r>
          </w:p>
        </w:tc>
        <w:tc>
          <w:tcPr>
            <w:tcW w:w="903" w:type="dxa"/>
            <w:vAlign w:val="center"/>
          </w:tcPr>
          <w:p w:rsidR="00A85CFB" w:rsidRPr="008F671D" w:rsidRDefault="00F16D3B" w:rsidP="00823C0A">
            <w:pPr>
              <w:rPr>
                <w:rFonts w:asciiTheme="minorHAnsi" w:hAnsiTheme="minorHAnsi"/>
                <w:sz w:val="20"/>
              </w:rPr>
            </w:pPr>
            <w:r>
              <w:rPr>
                <w:rFonts w:asciiTheme="minorHAnsi" w:hAnsiTheme="minorHAnsi"/>
                <w:sz w:val="20"/>
              </w:rPr>
              <w:t>Yes</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Deprivation Quintile</w:t>
            </w:r>
          </w:p>
        </w:tc>
        <w:tc>
          <w:tcPr>
            <w:tcW w:w="903" w:type="dxa"/>
            <w:vAlign w:val="center"/>
          </w:tcPr>
          <w:p w:rsidR="00A85CFB" w:rsidRPr="008F671D" w:rsidRDefault="00A85CFB"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 xml:space="preserve">NISRA Geography Urban/Rural Measure </w:t>
            </w:r>
          </w:p>
        </w:tc>
        <w:tc>
          <w:tcPr>
            <w:tcW w:w="903" w:type="dxa"/>
            <w:vAlign w:val="center"/>
          </w:tcPr>
          <w:p w:rsidR="00A85CFB" w:rsidRPr="008F671D" w:rsidRDefault="00A85CFB"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b/>
                <w:sz w:val="20"/>
                <w:szCs w:val="20"/>
              </w:rPr>
            </w:pPr>
            <w:r w:rsidRPr="00345E2E">
              <w:rPr>
                <w:rFonts w:asciiTheme="minorHAnsi" w:hAnsiTheme="minorHAnsi"/>
                <w:b/>
                <w:sz w:val="20"/>
                <w:szCs w:val="20"/>
              </w:rPr>
              <w:t>Gender</w:t>
            </w:r>
          </w:p>
        </w:tc>
        <w:tc>
          <w:tcPr>
            <w:tcW w:w="903" w:type="dxa"/>
            <w:vAlign w:val="center"/>
          </w:tcPr>
          <w:p w:rsidR="00A85CFB" w:rsidRPr="008F671D" w:rsidRDefault="00A85CFB"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Age</w:t>
            </w:r>
          </w:p>
        </w:tc>
        <w:tc>
          <w:tcPr>
            <w:tcW w:w="903" w:type="dxa"/>
            <w:vAlign w:val="center"/>
          </w:tcPr>
          <w:p w:rsidR="00A85CFB" w:rsidRPr="008F671D" w:rsidRDefault="00A85CFB"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Marital Status</w:t>
            </w:r>
          </w:p>
        </w:tc>
        <w:tc>
          <w:tcPr>
            <w:tcW w:w="903" w:type="dxa"/>
            <w:vAlign w:val="center"/>
          </w:tcPr>
          <w:p w:rsidR="00A85CFB" w:rsidRPr="008F671D" w:rsidRDefault="00A85CFB"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Religion</w:t>
            </w:r>
          </w:p>
        </w:tc>
        <w:tc>
          <w:tcPr>
            <w:tcW w:w="903" w:type="dxa"/>
            <w:vAlign w:val="center"/>
          </w:tcPr>
          <w:p w:rsidR="00A85CFB" w:rsidRPr="008F671D" w:rsidRDefault="00A85CFB"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Political Opinion</w:t>
            </w:r>
          </w:p>
        </w:tc>
        <w:tc>
          <w:tcPr>
            <w:tcW w:w="903" w:type="dxa"/>
            <w:vAlign w:val="center"/>
          </w:tcPr>
          <w:p w:rsidR="00A85CFB" w:rsidRPr="008F671D" w:rsidRDefault="00A85CFB"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Disability</w:t>
            </w:r>
          </w:p>
        </w:tc>
        <w:tc>
          <w:tcPr>
            <w:tcW w:w="903" w:type="dxa"/>
            <w:vAlign w:val="center"/>
          </w:tcPr>
          <w:p w:rsidR="00A85CFB" w:rsidRPr="008F671D" w:rsidRDefault="00A85CFB"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Dependants</w:t>
            </w:r>
          </w:p>
        </w:tc>
        <w:tc>
          <w:tcPr>
            <w:tcW w:w="903" w:type="dxa"/>
            <w:vAlign w:val="center"/>
          </w:tcPr>
          <w:p w:rsidR="00A85CFB" w:rsidRPr="008F671D" w:rsidRDefault="00A85CFB"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Sexual Orientation</w:t>
            </w:r>
          </w:p>
        </w:tc>
        <w:tc>
          <w:tcPr>
            <w:tcW w:w="903" w:type="dxa"/>
            <w:vAlign w:val="center"/>
          </w:tcPr>
          <w:p w:rsidR="00A85CFB" w:rsidRPr="008F671D" w:rsidRDefault="00A85CFB"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345E2E" w:rsidRDefault="00A85CFB" w:rsidP="00C06DF4">
            <w:pPr>
              <w:rPr>
                <w:rFonts w:asciiTheme="minorHAnsi" w:hAnsiTheme="minorHAnsi"/>
                <w:sz w:val="20"/>
                <w:szCs w:val="20"/>
              </w:rPr>
            </w:pPr>
            <w:r w:rsidRPr="00345E2E">
              <w:rPr>
                <w:rFonts w:asciiTheme="minorHAnsi" w:hAnsiTheme="minorHAnsi"/>
                <w:b/>
                <w:sz w:val="20"/>
                <w:szCs w:val="20"/>
              </w:rPr>
              <w:t>Racial Group</w:t>
            </w:r>
          </w:p>
        </w:tc>
        <w:tc>
          <w:tcPr>
            <w:tcW w:w="903" w:type="dxa"/>
            <w:vAlign w:val="center"/>
          </w:tcPr>
          <w:p w:rsidR="00A85CFB" w:rsidRPr="008F671D" w:rsidRDefault="00A85CFB" w:rsidP="00823C0A">
            <w:pPr>
              <w:rPr>
                <w:rFonts w:asciiTheme="minorHAnsi" w:hAnsiTheme="minorHAnsi"/>
                <w:sz w:val="20"/>
              </w:rPr>
            </w:pPr>
            <w:r>
              <w:rPr>
                <w:rFonts w:asciiTheme="minorHAnsi" w:hAnsiTheme="minorHAnsi"/>
                <w:sz w:val="20"/>
              </w:rPr>
              <w:t>No</w:t>
            </w:r>
          </w:p>
        </w:tc>
        <w:tc>
          <w:tcPr>
            <w:tcW w:w="4536" w:type="dxa"/>
            <w:vAlign w:val="center"/>
          </w:tcPr>
          <w:p w:rsidR="00A85CFB" w:rsidRPr="008F671D" w:rsidRDefault="00A85CFB" w:rsidP="00823C0A">
            <w:pPr>
              <w:rPr>
                <w:rFonts w:asciiTheme="minorHAnsi" w:hAnsiTheme="minorHAnsi"/>
                <w:sz w:val="20"/>
              </w:rPr>
            </w:pPr>
          </w:p>
        </w:tc>
      </w:tr>
      <w:tr w:rsidR="00A85CFB" w:rsidRPr="008F671D" w:rsidTr="00823C0A">
        <w:trPr>
          <w:trHeight w:val="454"/>
        </w:trPr>
        <w:tc>
          <w:tcPr>
            <w:tcW w:w="4219" w:type="dxa"/>
            <w:shd w:val="clear" w:color="auto" w:fill="D9D9D9" w:themeFill="background1" w:themeFillShade="D9"/>
            <w:vAlign w:val="center"/>
          </w:tcPr>
          <w:p w:rsidR="00A85CFB" w:rsidRPr="004C2627" w:rsidRDefault="00A85CFB" w:rsidP="00C06DF4">
            <w:pPr>
              <w:rPr>
                <w:rFonts w:asciiTheme="minorHAnsi" w:hAnsiTheme="minorHAnsi"/>
                <w:b/>
                <w:sz w:val="20"/>
                <w:szCs w:val="20"/>
              </w:rPr>
            </w:pPr>
            <w:r>
              <w:rPr>
                <w:rFonts w:asciiTheme="minorHAnsi" w:hAnsiTheme="minorHAnsi"/>
                <w:b/>
                <w:sz w:val="20"/>
                <w:szCs w:val="20"/>
              </w:rPr>
              <w:t>L</w:t>
            </w:r>
            <w:r w:rsidRPr="00345E2E">
              <w:rPr>
                <w:rFonts w:asciiTheme="minorHAnsi" w:hAnsiTheme="minorHAnsi"/>
                <w:b/>
                <w:sz w:val="20"/>
                <w:szCs w:val="20"/>
              </w:rPr>
              <w:t>owest level geography at which the measure is available:</w:t>
            </w:r>
          </w:p>
        </w:tc>
        <w:tc>
          <w:tcPr>
            <w:tcW w:w="5439" w:type="dxa"/>
            <w:gridSpan w:val="2"/>
            <w:vAlign w:val="center"/>
          </w:tcPr>
          <w:p w:rsidR="00A85CFB" w:rsidRPr="0006771F" w:rsidRDefault="00F16D3B" w:rsidP="00823C0A">
            <w:pPr>
              <w:rPr>
                <w:rFonts w:asciiTheme="minorHAnsi" w:hAnsiTheme="minorHAnsi"/>
                <w:sz w:val="20"/>
              </w:rPr>
            </w:pPr>
            <w:r>
              <w:rPr>
                <w:rFonts w:asciiTheme="minorHAnsi" w:hAnsiTheme="minorHAnsi"/>
                <w:sz w:val="20"/>
              </w:rPr>
              <w:t>LGD</w:t>
            </w:r>
          </w:p>
        </w:tc>
      </w:tr>
    </w:tbl>
    <w:bookmarkEnd w:id="0"/>
    <w:p w:rsidR="00357CC1" w:rsidRPr="00A85CFB" w:rsidRDefault="00A85CFB" w:rsidP="000200B0">
      <w:pPr>
        <w:rPr>
          <w:rFonts w:asciiTheme="minorHAnsi" w:hAnsiTheme="minorHAnsi"/>
          <w:sz w:val="20"/>
          <w:szCs w:val="20"/>
        </w:rPr>
      </w:pPr>
      <w:r w:rsidRPr="000E15DF">
        <w:rPr>
          <w:rFonts w:asciiTheme="minorHAnsi" w:hAnsiTheme="minorHAnsi"/>
          <w:sz w:val="20"/>
          <w:szCs w:val="20"/>
        </w:rPr>
        <w:t>*</w:t>
      </w:r>
      <w:r>
        <w:rPr>
          <w:rFonts w:asciiTheme="minorHAnsi" w:hAnsiTheme="minorHAnsi"/>
          <w:sz w:val="20"/>
          <w:szCs w:val="20"/>
        </w:rPr>
        <w:t xml:space="preserve"> Due to confidentiality constraints, in some instances breakdowns may not be available due to small numbers</w:t>
      </w:r>
    </w:p>
    <w:sectPr w:rsidR="00357CC1" w:rsidRPr="00A85CFB" w:rsidSect="008F671D">
      <w:headerReference w:type="default" r:id="rId14"/>
      <w:pgSz w:w="11906" w:h="16838"/>
      <w:pgMar w:top="709" w:right="851" w:bottom="680" w:left="851" w:header="709"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CD3" w:rsidRDefault="00E64CD3" w:rsidP="008F671D">
      <w:r>
        <w:separator/>
      </w:r>
    </w:p>
  </w:endnote>
  <w:endnote w:type="continuationSeparator" w:id="0">
    <w:p w:rsidR="00E64CD3" w:rsidRDefault="00E64CD3" w:rsidP="008F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CD3" w:rsidRDefault="00E64CD3" w:rsidP="008F671D">
      <w:r>
        <w:separator/>
      </w:r>
    </w:p>
  </w:footnote>
  <w:footnote w:type="continuationSeparator" w:id="0">
    <w:p w:rsidR="00E64CD3" w:rsidRDefault="00E64CD3" w:rsidP="008F6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2CC" w:rsidRPr="00E14E8E" w:rsidRDefault="007712CC" w:rsidP="008F671D">
    <w:pPr>
      <w:rPr>
        <w:rFonts w:asciiTheme="minorHAnsi" w:hAnsiTheme="minorHAnsi" w:cs="Arial"/>
        <w:b/>
        <w:color w:val="808080" w:themeColor="background1" w:themeShade="80"/>
        <w:sz w:val="28"/>
      </w:rPr>
    </w:pPr>
    <w:r w:rsidRPr="00E14E8E">
      <w:rPr>
        <w:rFonts w:asciiTheme="minorHAnsi" w:hAnsiTheme="minorHAnsi" w:cs="Arial"/>
        <w:b/>
        <w:color w:val="808080" w:themeColor="background1" w:themeShade="80"/>
        <w:sz w:val="28"/>
      </w:rPr>
      <w:t>PFG – 2016/</w:t>
    </w:r>
    <w:r w:rsidR="00823C0A">
      <w:rPr>
        <w:rFonts w:asciiTheme="minorHAnsi" w:hAnsiTheme="minorHAnsi" w:cs="Arial"/>
        <w:b/>
        <w:color w:val="808080" w:themeColor="background1" w:themeShade="80"/>
        <w:sz w:val="28"/>
      </w:rPr>
      <w:t>2021</w:t>
    </w:r>
    <w:r w:rsidR="00823C0A">
      <w:rPr>
        <w:rFonts w:asciiTheme="minorHAnsi" w:hAnsiTheme="minorHAnsi" w:cs="Arial"/>
        <w:b/>
        <w:color w:val="808080" w:themeColor="background1" w:themeShade="80"/>
        <w:sz w:val="28"/>
      </w:rPr>
      <w:tab/>
    </w:r>
    <w:r w:rsidR="00823C0A">
      <w:rPr>
        <w:rFonts w:asciiTheme="minorHAnsi" w:hAnsiTheme="minorHAnsi" w:cs="Arial"/>
        <w:b/>
        <w:color w:val="808080" w:themeColor="background1" w:themeShade="80"/>
        <w:sz w:val="28"/>
      </w:rPr>
      <w:tab/>
    </w:r>
    <w:r w:rsidR="00823C0A">
      <w:rPr>
        <w:rFonts w:asciiTheme="minorHAnsi" w:hAnsiTheme="minorHAnsi" w:cs="Arial"/>
        <w:b/>
        <w:color w:val="808080" w:themeColor="background1" w:themeShade="80"/>
        <w:sz w:val="28"/>
      </w:rPr>
      <w:tab/>
    </w:r>
    <w:r w:rsidR="00823C0A">
      <w:rPr>
        <w:rFonts w:asciiTheme="minorHAnsi" w:hAnsiTheme="minorHAnsi" w:cs="Arial"/>
        <w:b/>
        <w:color w:val="808080" w:themeColor="background1" w:themeShade="80"/>
        <w:sz w:val="28"/>
      </w:rPr>
      <w:tab/>
    </w:r>
    <w:r>
      <w:rPr>
        <w:rFonts w:asciiTheme="minorHAnsi" w:hAnsiTheme="minorHAnsi" w:cs="Arial"/>
        <w:b/>
        <w:color w:val="808080" w:themeColor="background1" w:themeShade="80"/>
        <w:sz w:val="28"/>
      </w:rPr>
      <w:tab/>
    </w:r>
    <w:r>
      <w:rPr>
        <w:rFonts w:asciiTheme="minorHAnsi" w:hAnsiTheme="minorHAnsi" w:cs="Arial"/>
        <w:b/>
        <w:color w:val="808080" w:themeColor="background1" w:themeShade="80"/>
        <w:sz w:val="28"/>
      </w:rPr>
      <w:tab/>
    </w:r>
    <w:r w:rsidRPr="00E14E8E">
      <w:rPr>
        <w:rFonts w:asciiTheme="minorHAnsi" w:hAnsiTheme="minorHAnsi" w:cs="Arial"/>
        <w:b/>
        <w:color w:val="808080" w:themeColor="background1" w:themeShade="80"/>
        <w:sz w:val="28"/>
      </w:rPr>
      <w:tab/>
      <w:t>MEASUREMENT 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B1A3D"/>
    <w:multiLevelType w:val="multilevel"/>
    <w:tmpl w:val="D4C4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35354"/>
    <w:multiLevelType w:val="hybridMultilevel"/>
    <w:tmpl w:val="378092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0200B0"/>
    <w:rsid w:val="000200B0"/>
    <w:rsid w:val="000515AB"/>
    <w:rsid w:val="000531B5"/>
    <w:rsid w:val="00060B9C"/>
    <w:rsid w:val="000660A1"/>
    <w:rsid w:val="0006771F"/>
    <w:rsid w:val="0008741F"/>
    <w:rsid w:val="00095AB2"/>
    <w:rsid w:val="000B1BD2"/>
    <w:rsid w:val="000E43D4"/>
    <w:rsid w:val="000E75A3"/>
    <w:rsid w:val="00113C75"/>
    <w:rsid w:val="00127A62"/>
    <w:rsid w:val="001425E1"/>
    <w:rsid w:val="001668A0"/>
    <w:rsid w:val="001849F8"/>
    <w:rsid w:val="001863BB"/>
    <w:rsid w:val="001C2C68"/>
    <w:rsid w:val="001D1AD8"/>
    <w:rsid w:val="001D69FA"/>
    <w:rsid w:val="001F141E"/>
    <w:rsid w:val="002275CC"/>
    <w:rsid w:val="00235BC7"/>
    <w:rsid w:val="00254DA2"/>
    <w:rsid w:val="00282FAE"/>
    <w:rsid w:val="002C160C"/>
    <w:rsid w:val="00316D9E"/>
    <w:rsid w:val="00324526"/>
    <w:rsid w:val="0032479C"/>
    <w:rsid w:val="00331978"/>
    <w:rsid w:val="00341C45"/>
    <w:rsid w:val="00357CC1"/>
    <w:rsid w:val="00357EB0"/>
    <w:rsid w:val="00372264"/>
    <w:rsid w:val="00376AD3"/>
    <w:rsid w:val="00377F2C"/>
    <w:rsid w:val="00397F49"/>
    <w:rsid w:val="003B013B"/>
    <w:rsid w:val="003C1DB6"/>
    <w:rsid w:val="003C4441"/>
    <w:rsid w:val="003D066F"/>
    <w:rsid w:val="003E6FDF"/>
    <w:rsid w:val="003F0FF6"/>
    <w:rsid w:val="003F1D3A"/>
    <w:rsid w:val="003F74DA"/>
    <w:rsid w:val="00404AD8"/>
    <w:rsid w:val="00423C1B"/>
    <w:rsid w:val="00465B3F"/>
    <w:rsid w:val="00490179"/>
    <w:rsid w:val="0049269F"/>
    <w:rsid w:val="004A24D7"/>
    <w:rsid w:val="004D6771"/>
    <w:rsid w:val="00535359"/>
    <w:rsid w:val="00542BC4"/>
    <w:rsid w:val="005A4695"/>
    <w:rsid w:val="005B441A"/>
    <w:rsid w:val="005B69FE"/>
    <w:rsid w:val="005C79AD"/>
    <w:rsid w:val="005E386D"/>
    <w:rsid w:val="005F603B"/>
    <w:rsid w:val="00611CCE"/>
    <w:rsid w:val="006B0988"/>
    <w:rsid w:val="006D6E49"/>
    <w:rsid w:val="007321E3"/>
    <w:rsid w:val="007348B0"/>
    <w:rsid w:val="00735E57"/>
    <w:rsid w:val="00770017"/>
    <w:rsid w:val="007712CC"/>
    <w:rsid w:val="007841CC"/>
    <w:rsid w:val="007D0190"/>
    <w:rsid w:val="007D4CA2"/>
    <w:rsid w:val="00806A6E"/>
    <w:rsid w:val="00823C0A"/>
    <w:rsid w:val="00837F05"/>
    <w:rsid w:val="00882FF5"/>
    <w:rsid w:val="008B6781"/>
    <w:rsid w:val="008F167D"/>
    <w:rsid w:val="008F671D"/>
    <w:rsid w:val="00900676"/>
    <w:rsid w:val="009373F2"/>
    <w:rsid w:val="0094608E"/>
    <w:rsid w:val="00952736"/>
    <w:rsid w:val="009744B1"/>
    <w:rsid w:val="00977923"/>
    <w:rsid w:val="00980EC4"/>
    <w:rsid w:val="009C1900"/>
    <w:rsid w:val="009C41FB"/>
    <w:rsid w:val="00A0388B"/>
    <w:rsid w:val="00A422E3"/>
    <w:rsid w:val="00A42C48"/>
    <w:rsid w:val="00A42FCB"/>
    <w:rsid w:val="00A4566B"/>
    <w:rsid w:val="00A535C2"/>
    <w:rsid w:val="00A71F94"/>
    <w:rsid w:val="00A85CFB"/>
    <w:rsid w:val="00AA3C83"/>
    <w:rsid w:val="00AE6B78"/>
    <w:rsid w:val="00AF7E1A"/>
    <w:rsid w:val="00B151E2"/>
    <w:rsid w:val="00B6370C"/>
    <w:rsid w:val="00B8684A"/>
    <w:rsid w:val="00BD4124"/>
    <w:rsid w:val="00C305E8"/>
    <w:rsid w:val="00C5024A"/>
    <w:rsid w:val="00C50CB4"/>
    <w:rsid w:val="00C95F71"/>
    <w:rsid w:val="00CA12E6"/>
    <w:rsid w:val="00CC4122"/>
    <w:rsid w:val="00CC548C"/>
    <w:rsid w:val="00CD441C"/>
    <w:rsid w:val="00CE3F7A"/>
    <w:rsid w:val="00D172FC"/>
    <w:rsid w:val="00DB2A18"/>
    <w:rsid w:val="00E14E8E"/>
    <w:rsid w:val="00E5374D"/>
    <w:rsid w:val="00E64CD3"/>
    <w:rsid w:val="00ED6FEE"/>
    <w:rsid w:val="00EF2DD6"/>
    <w:rsid w:val="00EF610E"/>
    <w:rsid w:val="00F16D3B"/>
    <w:rsid w:val="00F2310C"/>
    <w:rsid w:val="00F35BC1"/>
    <w:rsid w:val="00F47F63"/>
    <w:rsid w:val="00F778CC"/>
    <w:rsid w:val="00F81E8B"/>
    <w:rsid w:val="00FB4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20A58-AAAD-4B2E-BDB7-B24D6995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0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6FDF"/>
    <w:rPr>
      <w:color w:val="0000FF" w:themeColor="hyperlink"/>
      <w:u w:val="single"/>
    </w:rPr>
  </w:style>
  <w:style w:type="paragraph" w:styleId="Header">
    <w:name w:val="header"/>
    <w:basedOn w:val="Normal"/>
    <w:link w:val="HeaderChar"/>
    <w:uiPriority w:val="99"/>
    <w:unhideWhenUsed/>
    <w:rsid w:val="008F671D"/>
    <w:pPr>
      <w:tabs>
        <w:tab w:val="center" w:pos="4513"/>
        <w:tab w:val="right" w:pos="9026"/>
      </w:tabs>
    </w:pPr>
  </w:style>
  <w:style w:type="character" w:customStyle="1" w:styleId="HeaderChar">
    <w:name w:val="Header Char"/>
    <w:basedOn w:val="DefaultParagraphFont"/>
    <w:link w:val="Header"/>
    <w:uiPriority w:val="99"/>
    <w:rsid w:val="008F671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F671D"/>
    <w:pPr>
      <w:tabs>
        <w:tab w:val="center" w:pos="4513"/>
        <w:tab w:val="right" w:pos="9026"/>
      </w:tabs>
    </w:pPr>
  </w:style>
  <w:style w:type="character" w:customStyle="1" w:styleId="FooterChar">
    <w:name w:val="Footer Char"/>
    <w:basedOn w:val="DefaultParagraphFont"/>
    <w:link w:val="Footer"/>
    <w:uiPriority w:val="99"/>
    <w:semiHidden/>
    <w:rsid w:val="008F67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671D"/>
    <w:rPr>
      <w:rFonts w:ascii="Tahoma" w:hAnsi="Tahoma" w:cs="Tahoma"/>
      <w:sz w:val="16"/>
      <w:szCs w:val="16"/>
    </w:rPr>
  </w:style>
  <w:style w:type="character" w:customStyle="1" w:styleId="BalloonTextChar">
    <w:name w:val="Balloon Text Char"/>
    <w:basedOn w:val="DefaultParagraphFont"/>
    <w:link w:val="BalloonText"/>
    <w:uiPriority w:val="99"/>
    <w:semiHidden/>
    <w:rsid w:val="008F671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7712CC"/>
    <w:rPr>
      <w:color w:val="800080" w:themeColor="followedHyperlink"/>
      <w:u w:val="single"/>
    </w:rPr>
  </w:style>
  <w:style w:type="character" w:customStyle="1" w:styleId="A5">
    <w:name w:val="A5"/>
    <w:uiPriority w:val="99"/>
    <w:rsid w:val="007712CC"/>
    <w:rPr>
      <w:rFonts w:cs="Myriad Pro"/>
      <w:color w:val="000000"/>
      <w:sz w:val="22"/>
      <w:szCs w:val="22"/>
    </w:rPr>
  </w:style>
  <w:style w:type="character" w:styleId="CommentReference">
    <w:name w:val="annotation reference"/>
    <w:basedOn w:val="DefaultParagraphFont"/>
    <w:uiPriority w:val="99"/>
    <w:semiHidden/>
    <w:unhideWhenUsed/>
    <w:rsid w:val="00EF610E"/>
    <w:rPr>
      <w:sz w:val="16"/>
      <w:szCs w:val="16"/>
    </w:rPr>
  </w:style>
  <w:style w:type="paragraph" w:styleId="CommentText">
    <w:name w:val="annotation text"/>
    <w:basedOn w:val="Normal"/>
    <w:link w:val="CommentTextChar"/>
    <w:uiPriority w:val="99"/>
    <w:semiHidden/>
    <w:unhideWhenUsed/>
    <w:rsid w:val="00EF610E"/>
    <w:rPr>
      <w:sz w:val="20"/>
      <w:szCs w:val="20"/>
    </w:rPr>
  </w:style>
  <w:style w:type="character" w:customStyle="1" w:styleId="CommentTextChar">
    <w:name w:val="Comment Text Char"/>
    <w:basedOn w:val="DefaultParagraphFont"/>
    <w:link w:val="CommentText"/>
    <w:uiPriority w:val="99"/>
    <w:semiHidden/>
    <w:rsid w:val="00EF61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610E"/>
    <w:rPr>
      <w:b/>
      <w:bCs/>
    </w:rPr>
  </w:style>
  <w:style w:type="character" w:customStyle="1" w:styleId="CommentSubjectChar">
    <w:name w:val="Comment Subject Char"/>
    <w:basedOn w:val="CommentTextChar"/>
    <w:link w:val="CommentSubject"/>
    <w:uiPriority w:val="99"/>
    <w:semiHidden/>
    <w:rsid w:val="00EF610E"/>
    <w:rPr>
      <w:rFonts w:ascii="Times New Roman" w:eastAsia="Times New Roman" w:hAnsi="Times New Roman" w:cs="Times New Roman"/>
      <w:b/>
      <w:bCs/>
      <w:sz w:val="20"/>
      <w:szCs w:val="20"/>
    </w:rPr>
  </w:style>
  <w:style w:type="paragraph" w:styleId="ListParagraph">
    <w:name w:val="List Paragraph"/>
    <w:basedOn w:val="Normal"/>
    <w:uiPriority w:val="34"/>
    <w:qFormat/>
    <w:rsid w:val="00095AB2"/>
    <w:pPr>
      <w:ind w:left="720"/>
    </w:pPr>
    <w:rPr>
      <w:rFonts w:ascii="Calibri" w:eastAsiaTheme="minorHAnsi" w:hAnsi="Calibri"/>
      <w:sz w:val="22"/>
      <w:szCs w:val="22"/>
      <w:lang w:eastAsia="en-GB"/>
    </w:rPr>
  </w:style>
  <w:style w:type="paragraph" w:customStyle="1" w:styleId="Default">
    <w:name w:val="Default"/>
    <w:rsid w:val="00376AD3"/>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5B4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859928">
      <w:bodyDiv w:val="1"/>
      <w:marLeft w:val="0"/>
      <w:marRight w:val="0"/>
      <w:marTop w:val="0"/>
      <w:marBottom w:val="0"/>
      <w:divBdr>
        <w:top w:val="none" w:sz="0" w:space="0" w:color="auto"/>
        <w:left w:val="none" w:sz="0" w:space="0" w:color="auto"/>
        <w:bottom w:val="none" w:sz="0" w:space="0" w:color="auto"/>
        <w:right w:val="none" w:sz="0" w:space="0" w:color="auto"/>
      </w:divBdr>
      <w:divsChild>
        <w:div w:id="1135635051">
          <w:marLeft w:val="0"/>
          <w:marRight w:val="0"/>
          <w:marTop w:val="0"/>
          <w:marBottom w:val="0"/>
          <w:divBdr>
            <w:top w:val="none" w:sz="0" w:space="0" w:color="auto"/>
            <w:left w:val="none" w:sz="0" w:space="0" w:color="auto"/>
            <w:bottom w:val="none" w:sz="0" w:space="0" w:color="auto"/>
            <w:right w:val="none" w:sz="0" w:space="0" w:color="auto"/>
          </w:divBdr>
          <w:divsChild>
            <w:div w:id="322902460">
              <w:marLeft w:val="0"/>
              <w:marRight w:val="0"/>
              <w:marTop w:val="0"/>
              <w:marBottom w:val="0"/>
              <w:divBdr>
                <w:top w:val="none" w:sz="0" w:space="0" w:color="auto"/>
                <w:left w:val="none" w:sz="0" w:space="0" w:color="auto"/>
                <w:bottom w:val="none" w:sz="0" w:space="0" w:color="auto"/>
                <w:right w:val="none" w:sz="0" w:space="0" w:color="auto"/>
              </w:divBdr>
              <w:divsChild>
                <w:div w:id="1382292165">
                  <w:marLeft w:val="0"/>
                  <w:marRight w:val="0"/>
                  <w:marTop w:val="0"/>
                  <w:marBottom w:val="0"/>
                  <w:divBdr>
                    <w:top w:val="none" w:sz="0" w:space="0" w:color="auto"/>
                    <w:left w:val="none" w:sz="0" w:space="0" w:color="auto"/>
                    <w:bottom w:val="none" w:sz="0" w:space="0" w:color="auto"/>
                    <w:right w:val="none" w:sz="0" w:space="0" w:color="auto"/>
                  </w:divBdr>
                  <w:divsChild>
                    <w:div w:id="5527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78174">
      <w:bodyDiv w:val="1"/>
      <w:marLeft w:val="0"/>
      <w:marRight w:val="0"/>
      <w:marTop w:val="0"/>
      <w:marBottom w:val="0"/>
      <w:divBdr>
        <w:top w:val="none" w:sz="0" w:space="0" w:color="auto"/>
        <w:left w:val="none" w:sz="0" w:space="0" w:color="auto"/>
        <w:bottom w:val="none" w:sz="0" w:space="0" w:color="auto"/>
        <w:right w:val="none" w:sz="0" w:space="0" w:color="auto"/>
      </w:divBdr>
    </w:div>
    <w:div w:id="798375487">
      <w:bodyDiv w:val="1"/>
      <w:marLeft w:val="0"/>
      <w:marRight w:val="0"/>
      <w:marTop w:val="0"/>
      <w:marBottom w:val="0"/>
      <w:divBdr>
        <w:top w:val="none" w:sz="0" w:space="0" w:color="auto"/>
        <w:left w:val="none" w:sz="0" w:space="0" w:color="auto"/>
        <w:bottom w:val="none" w:sz="0" w:space="0" w:color="auto"/>
        <w:right w:val="none" w:sz="0" w:space="0" w:color="auto"/>
      </w:divBdr>
    </w:div>
    <w:div w:id="1013654362">
      <w:bodyDiv w:val="1"/>
      <w:marLeft w:val="0"/>
      <w:marRight w:val="0"/>
      <w:marTop w:val="0"/>
      <w:marBottom w:val="0"/>
      <w:divBdr>
        <w:top w:val="none" w:sz="0" w:space="0" w:color="auto"/>
        <w:left w:val="none" w:sz="0" w:space="0" w:color="auto"/>
        <w:bottom w:val="none" w:sz="0" w:space="0" w:color="auto"/>
        <w:right w:val="none" w:sz="0" w:space="0" w:color="auto"/>
      </w:divBdr>
    </w:div>
    <w:div w:id="1696882220">
      <w:bodyDiv w:val="1"/>
      <w:marLeft w:val="0"/>
      <w:marRight w:val="0"/>
      <w:marTop w:val="0"/>
      <w:marBottom w:val="0"/>
      <w:divBdr>
        <w:top w:val="none" w:sz="0" w:space="0" w:color="auto"/>
        <w:left w:val="none" w:sz="0" w:space="0" w:color="auto"/>
        <w:bottom w:val="none" w:sz="0" w:space="0" w:color="auto"/>
        <w:right w:val="none" w:sz="0" w:space="0" w:color="auto"/>
      </w:divBdr>
    </w:div>
    <w:div w:id="177917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publications/annual-housing-stock-statistics" TargetMode="External"/><Relationship Id="rId13" Type="http://schemas.openxmlformats.org/officeDocument/2006/relationships/hyperlink" Target="https://www2.gov.scot/Topics/Statistics/Browse/Housing-Regeneration?utm_source=website&amp;utm_medium=navigation&amp;utm_campaign=statistics-top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v.wales/estimates-housing-need-wales-tenure-2018-base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statistics/dwelling-stock-estimates-in-england-20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inance-ni.gov.uk/publications/annual-housing-stock-statistics" TargetMode="External"/><Relationship Id="rId4" Type="http://schemas.openxmlformats.org/officeDocument/2006/relationships/settings" Target="settings.xml"/><Relationship Id="rId9" Type="http://schemas.openxmlformats.org/officeDocument/2006/relationships/hyperlink" Target="https://www.finance-ni.gov.uk/publications/housing-stock-quality-assurance-administrative-dat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9C7E8-EDB1-4402-BB65-AA85E892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O'Neill</dc:creator>
  <cp:lastModifiedBy>Katie Barbour</cp:lastModifiedBy>
  <cp:revision>3</cp:revision>
  <cp:lastPrinted>2016-04-11T13:16:00Z</cp:lastPrinted>
  <dcterms:created xsi:type="dcterms:W3CDTF">2019-06-10T10:07:00Z</dcterms:created>
  <dcterms:modified xsi:type="dcterms:W3CDTF">2019-06-10T10:07:00Z</dcterms:modified>
</cp:coreProperties>
</file>