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32905" w14:textId="77777777" w:rsidR="00662D18" w:rsidRPr="00AD405C" w:rsidRDefault="00662D18" w:rsidP="00662D18">
      <w:pPr>
        <w:jc w:val="center"/>
        <w:rPr>
          <w:rFonts w:cstheme="minorHAnsi"/>
          <w:color w:val="244061" w:themeColor="accent1" w:themeShade="80"/>
        </w:rPr>
      </w:pPr>
      <w:r w:rsidRPr="00AD405C">
        <w:rPr>
          <w:color w:val="244061" w:themeColor="accent1" w:themeShade="80"/>
          <w:sz w:val="48"/>
          <w:szCs w:val="48"/>
        </w:rPr>
        <w:t xml:space="preserve">TTP </w:t>
      </w:r>
      <w:r w:rsidR="00EB02E4" w:rsidRPr="00AD405C">
        <w:rPr>
          <w:color w:val="244061" w:themeColor="accent1" w:themeShade="80"/>
          <w:sz w:val="48"/>
          <w:szCs w:val="48"/>
        </w:rPr>
        <w:t>DATA QUALITY REPORT</w:t>
      </w:r>
    </w:p>
    <w:tbl>
      <w:tblPr>
        <w:tblStyle w:val="TableGrid"/>
        <w:tblW w:w="10598" w:type="dxa"/>
        <w:tblLook w:val="04A0" w:firstRow="1" w:lastRow="0" w:firstColumn="1" w:lastColumn="0" w:noHBand="0" w:noVBand="1"/>
      </w:tblPr>
      <w:tblGrid>
        <w:gridCol w:w="3071"/>
        <w:gridCol w:w="7527"/>
      </w:tblGrid>
      <w:tr w:rsidR="0075080D" w:rsidRPr="00AD405C" w14:paraId="05A84431" w14:textId="77777777" w:rsidTr="004F1B13">
        <w:tc>
          <w:tcPr>
            <w:tcW w:w="10598" w:type="dxa"/>
            <w:gridSpan w:val="2"/>
            <w:tcBorders>
              <w:bottom w:val="single" w:sz="4" w:space="0" w:color="auto"/>
            </w:tcBorders>
            <w:shd w:val="clear" w:color="auto" w:fill="B8CCE4" w:themeFill="accent1" w:themeFillTint="66"/>
          </w:tcPr>
          <w:p w14:paraId="72997EF4" w14:textId="77777777" w:rsidR="0075080D" w:rsidRPr="00AD405C" w:rsidRDefault="00EB02E4" w:rsidP="0075080D">
            <w:pPr>
              <w:jc w:val="center"/>
              <w:rPr>
                <w:rFonts w:cstheme="minorHAnsi"/>
                <w:b/>
                <w:color w:val="244061" w:themeColor="accent1" w:themeShade="80"/>
              </w:rPr>
            </w:pPr>
            <w:r w:rsidRPr="00AD405C">
              <w:rPr>
                <w:rFonts w:cstheme="minorHAnsi"/>
                <w:b/>
                <w:color w:val="244061" w:themeColor="accent1" w:themeShade="80"/>
              </w:rPr>
              <w:t>DATA SOURCE</w:t>
            </w:r>
          </w:p>
        </w:tc>
      </w:tr>
      <w:tr w:rsidR="00E72305" w:rsidRPr="00AD405C" w14:paraId="51AA7F1C" w14:textId="77777777" w:rsidTr="004F1B13">
        <w:tc>
          <w:tcPr>
            <w:tcW w:w="3071" w:type="dxa"/>
          </w:tcPr>
          <w:p w14:paraId="234CAE7F" w14:textId="77777777" w:rsidR="00E72305" w:rsidRPr="00451B5E" w:rsidRDefault="00364C1A" w:rsidP="00662D18">
            <w:pPr>
              <w:rPr>
                <w:rFonts w:cstheme="minorHAnsi"/>
              </w:rPr>
            </w:pPr>
            <w:r w:rsidRPr="00451B5E">
              <w:rPr>
                <w:rFonts w:cstheme="minorHAnsi"/>
              </w:rPr>
              <w:t>DATA SUPPLIER</w:t>
            </w:r>
            <w:r w:rsidR="0075080D" w:rsidRPr="00451B5E">
              <w:rPr>
                <w:rFonts w:cstheme="minorHAnsi"/>
              </w:rPr>
              <w:t>:</w:t>
            </w:r>
          </w:p>
        </w:tc>
        <w:tc>
          <w:tcPr>
            <w:tcW w:w="7527" w:type="dxa"/>
          </w:tcPr>
          <w:p w14:paraId="4FCEF56F" w14:textId="77777777" w:rsidR="00E72305" w:rsidRPr="00451B5E" w:rsidRDefault="002D7301" w:rsidP="00662D18">
            <w:pPr>
              <w:rPr>
                <w:rFonts w:cstheme="minorHAnsi"/>
              </w:rPr>
            </w:pPr>
            <w:r w:rsidRPr="00451B5E">
              <w:rPr>
                <w:rFonts w:cstheme="minorHAnsi"/>
              </w:rPr>
              <w:t>Department of Communities</w:t>
            </w:r>
            <w:r w:rsidR="008565EA">
              <w:rPr>
                <w:rFonts w:cstheme="minorHAnsi"/>
              </w:rPr>
              <w:t xml:space="preserve"> (DfC)</w:t>
            </w:r>
          </w:p>
        </w:tc>
      </w:tr>
      <w:tr w:rsidR="004F1B13" w:rsidRPr="00AD405C" w14:paraId="430B7874" w14:textId="77777777" w:rsidTr="00C0390D">
        <w:trPr>
          <w:trHeight w:val="826"/>
        </w:trPr>
        <w:tc>
          <w:tcPr>
            <w:tcW w:w="3071" w:type="dxa"/>
          </w:tcPr>
          <w:p w14:paraId="14DB4292" w14:textId="77777777" w:rsidR="004F1B13" w:rsidRPr="00451B5E" w:rsidRDefault="004F1B13" w:rsidP="00662D18">
            <w:pPr>
              <w:rPr>
                <w:rFonts w:cstheme="minorHAnsi"/>
              </w:rPr>
            </w:pPr>
          </w:p>
          <w:p w14:paraId="3A959602" w14:textId="77777777" w:rsidR="004F1B13" w:rsidRPr="00451B5E" w:rsidRDefault="004F1B13" w:rsidP="00662D18">
            <w:pPr>
              <w:rPr>
                <w:rFonts w:cstheme="minorHAnsi"/>
              </w:rPr>
            </w:pPr>
            <w:r w:rsidRPr="00451B5E">
              <w:rPr>
                <w:rFonts w:cstheme="minorHAnsi"/>
              </w:rPr>
              <w:t>DESCRIPTION:</w:t>
            </w:r>
          </w:p>
        </w:tc>
        <w:tc>
          <w:tcPr>
            <w:tcW w:w="7527" w:type="dxa"/>
          </w:tcPr>
          <w:p w14:paraId="17A8A2B2" w14:textId="77777777" w:rsidR="002D7301" w:rsidRPr="00451B5E" w:rsidRDefault="002D7301" w:rsidP="002D7301">
            <w:pPr>
              <w:rPr>
                <w:rFonts w:cstheme="minorHAnsi"/>
              </w:rPr>
            </w:pPr>
          </w:p>
          <w:p w14:paraId="3B764395" w14:textId="77777777" w:rsidR="00FF40E5" w:rsidRPr="00451B5E" w:rsidRDefault="002D7301" w:rsidP="002D7301">
            <w:pPr>
              <w:rPr>
                <w:rFonts w:cstheme="minorHAnsi"/>
              </w:rPr>
            </w:pPr>
            <w:r w:rsidRPr="00451B5E">
              <w:rPr>
                <w:rFonts w:cstheme="minorHAnsi"/>
              </w:rPr>
              <w:t>2010-2012 extract for individuals on the Disability Living Allowance Database (3 datasets)</w:t>
            </w:r>
          </w:p>
        </w:tc>
      </w:tr>
      <w:tr w:rsidR="00EB02E4" w:rsidRPr="00AD405C" w14:paraId="36E84295" w14:textId="77777777" w:rsidTr="004F1B13">
        <w:tc>
          <w:tcPr>
            <w:tcW w:w="3071" w:type="dxa"/>
            <w:tcBorders>
              <w:bottom w:val="single" w:sz="4" w:space="0" w:color="auto"/>
            </w:tcBorders>
          </w:tcPr>
          <w:p w14:paraId="2A18E55D" w14:textId="77777777" w:rsidR="00EB02E4" w:rsidRPr="00451B5E" w:rsidRDefault="00EB02E4" w:rsidP="00662D18">
            <w:pPr>
              <w:rPr>
                <w:rFonts w:cstheme="minorHAnsi"/>
              </w:rPr>
            </w:pPr>
            <w:r w:rsidRPr="00451B5E">
              <w:rPr>
                <w:rFonts w:cstheme="minorHAnsi"/>
              </w:rPr>
              <w:t>COVERAGE:</w:t>
            </w:r>
          </w:p>
        </w:tc>
        <w:tc>
          <w:tcPr>
            <w:tcW w:w="7527" w:type="dxa"/>
            <w:tcBorders>
              <w:bottom w:val="single" w:sz="4" w:space="0" w:color="auto"/>
            </w:tcBorders>
          </w:tcPr>
          <w:p w14:paraId="1823F7DB" w14:textId="77777777" w:rsidR="00EB02E4" w:rsidRPr="00451B5E" w:rsidRDefault="00FF40E5" w:rsidP="00FF0671">
            <w:pPr>
              <w:rPr>
                <w:rFonts w:cstheme="minorHAnsi"/>
              </w:rPr>
            </w:pPr>
            <w:r w:rsidRPr="00451B5E">
              <w:rPr>
                <w:rFonts w:cstheme="minorHAnsi"/>
              </w:rPr>
              <w:t xml:space="preserve">Northern Ireland </w:t>
            </w:r>
          </w:p>
        </w:tc>
      </w:tr>
      <w:tr w:rsidR="001E5AD9" w:rsidRPr="00AD405C" w14:paraId="2E18D329" w14:textId="77777777" w:rsidTr="004F1B13">
        <w:tc>
          <w:tcPr>
            <w:tcW w:w="3071" w:type="dxa"/>
            <w:tcBorders>
              <w:bottom w:val="single" w:sz="4" w:space="0" w:color="auto"/>
            </w:tcBorders>
          </w:tcPr>
          <w:p w14:paraId="074F268C" w14:textId="77777777" w:rsidR="001E5AD9" w:rsidRPr="00451B5E" w:rsidRDefault="001E5AD9" w:rsidP="00662D18">
            <w:pPr>
              <w:rPr>
                <w:rFonts w:cstheme="minorHAnsi"/>
              </w:rPr>
            </w:pPr>
            <w:r w:rsidRPr="00451B5E">
              <w:rPr>
                <w:rFonts w:cstheme="minorHAnsi"/>
              </w:rPr>
              <w:t>NUMBER OF RECORDS:</w:t>
            </w:r>
          </w:p>
        </w:tc>
        <w:tc>
          <w:tcPr>
            <w:tcW w:w="7527" w:type="dxa"/>
            <w:tcBorders>
              <w:bottom w:val="single" w:sz="4" w:space="0" w:color="auto"/>
            </w:tcBorders>
          </w:tcPr>
          <w:p w14:paraId="0286893A" w14:textId="77777777" w:rsidR="00970226" w:rsidRPr="00451B5E" w:rsidRDefault="00970226" w:rsidP="00806922">
            <w:pPr>
              <w:rPr>
                <w:rFonts w:cstheme="minorHAnsi"/>
              </w:rPr>
            </w:pPr>
            <w:r w:rsidRPr="00451B5E">
              <w:rPr>
                <w:rFonts w:cstheme="minorHAnsi"/>
              </w:rPr>
              <w:t xml:space="preserve">2010: 186,993 </w:t>
            </w:r>
          </w:p>
          <w:p w14:paraId="7E4B2AAB" w14:textId="77777777" w:rsidR="00970226" w:rsidRPr="00451B5E" w:rsidRDefault="00970226" w:rsidP="00806922">
            <w:pPr>
              <w:rPr>
                <w:rFonts w:cstheme="minorHAnsi"/>
              </w:rPr>
            </w:pPr>
            <w:r w:rsidRPr="00451B5E">
              <w:rPr>
                <w:rFonts w:cstheme="minorHAnsi"/>
              </w:rPr>
              <w:t>2011: 1</w:t>
            </w:r>
            <w:r w:rsidR="002D7301" w:rsidRPr="00451B5E">
              <w:rPr>
                <w:rFonts w:cstheme="minorHAnsi"/>
              </w:rPr>
              <w:t xml:space="preserve">90,350 </w:t>
            </w:r>
          </w:p>
          <w:p w14:paraId="24B0CF98" w14:textId="77777777" w:rsidR="001E5AD9" w:rsidRPr="00451B5E" w:rsidRDefault="00970226" w:rsidP="00970226">
            <w:pPr>
              <w:rPr>
                <w:rFonts w:cstheme="minorHAnsi"/>
              </w:rPr>
            </w:pPr>
            <w:r w:rsidRPr="00451B5E">
              <w:rPr>
                <w:rFonts w:cstheme="minorHAnsi"/>
              </w:rPr>
              <w:t xml:space="preserve">2012: </w:t>
            </w:r>
            <w:r w:rsidR="002D7301" w:rsidRPr="00451B5E">
              <w:rPr>
                <w:rFonts w:cstheme="minorHAnsi"/>
              </w:rPr>
              <w:t>194,207</w:t>
            </w:r>
            <w:r w:rsidR="008B30C5" w:rsidRPr="00451B5E">
              <w:rPr>
                <w:rFonts w:cstheme="minorHAnsi"/>
              </w:rPr>
              <w:t xml:space="preserve"> </w:t>
            </w:r>
          </w:p>
        </w:tc>
      </w:tr>
      <w:tr w:rsidR="008B5B91" w:rsidRPr="00AD405C" w14:paraId="32C628F7" w14:textId="77777777" w:rsidTr="004F1B13">
        <w:tc>
          <w:tcPr>
            <w:tcW w:w="10598" w:type="dxa"/>
            <w:gridSpan w:val="2"/>
            <w:shd w:val="clear" w:color="auto" w:fill="CCC0D9" w:themeFill="accent4" w:themeFillTint="66"/>
          </w:tcPr>
          <w:p w14:paraId="096996AD" w14:textId="77777777" w:rsidR="008B5B91" w:rsidRPr="00AD405C" w:rsidRDefault="008B5B91" w:rsidP="00662D18">
            <w:pPr>
              <w:rPr>
                <w:rFonts w:cstheme="minorHAnsi"/>
                <w:b/>
                <w:color w:val="244061" w:themeColor="accent1" w:themeShade="80"/>
              </w:rPr>
            </w:pPr>
            <w:r w:rsidRPr="00AD405C">
              <w:rPr>
                <w:rFonts w:cstheme="minorHAnsi"/>
                <w:b/>
                <w:color w:val="244061" w:themeColor="accent1" w:themeShade="80"/>
              </w:rPr>
              <w:t>DATA BACKGROUND</w:t>
            </w:r>
          </w:p>
        </w:tc>
      </w:tr>
      <w:tr w:rsidR="008B5B91" w:rsidRPr="00AD405C" w14:paraId="62CCD148" w14:textId="77777777" w:rsidTr="008B5B91">
        <w:tc>
          <w:tcPr>
            <w:tcW w:w="10598" w:type="dxa"/>
            <w:gridSpan w:val="2"/>
            <w:shd w:val="clear" w:color="auto" w:fill="auto"/>
          </w:tcPr>
          <w:p w14:paraId="771E5575" w14:textId="77777777" w:rsidR="004D476A" w:rsidRPr="00451B5E" w:rsidRDefault="004D476A" w:rsidP="00662D18">
            <w:pPr>
              <w:rPr>
                <w:rFonts w:cstheme="minorHAnsi"/>
              </w:rPr>
            </w:pPr>
          </w:p>
          <w:p w14:paraId="61C15F84" w14:textId="77777777" w:rsidR="009A7575" w:rsidRPr="00451B5E" w:rsidRDefault="009A7575" w:rsidP="00451B5E">
            <w:pPr>
              <w:jc w:val="both"/>
              <w:rPr>
                <w:rFonts w:cstheme="minorHAnsi"/>
              </w:rPr>
            </w:pPr>
            <w:r w:rsidRPr="00451B5E">
              <w:rPr>
                <w:rFonts w:cstheme="minorHAnsi"/>
              </w:rPr>
              <w:t xml:space="preserve">The Disability Living Allowance Database (DLA) is managed by the Department of Communities and is </w:t>
            </w:r>
            <w:r w:rsidR="00305AA5" w:rsidRPr="00451B5E">
              <w:rPr>
                <w:rFonts w:cstheme="minorHAnsi"/>
              </w:rPr>
              <w:t>a record</w:t>
            </w:r>
            <w:r w:rsidRPr="00451B5E">
              <w:rPr>
                <w:rFonts w:cstheme="minorHAnsi"/>
              </w:rPr>
              <w:t xml:space="preserve"> of all people currently registered for DLA in Northern Ireland. </w:t>
            </w:r>
            <w:r w:rsidR="00305AA5" w:rsidRPr="00451B5E">
              <w:rPr>
                <w:rFonts w:cstheme="minorHAnsi"/>
              </w:rPr>
              <w:t>DLA</w:t>
            </w:r>
            <w:r w:rsidRPr="00451B5E">
              <w:rPr>
                <w:rFonts w:cstheme="minorHAnsi"/>
              </w:rPr>
              <w:t xml:space="preserve"> provides a non-contributory, non means-tested and tax-free contribution towards the disability-related extra costs of severely disabled people who claim help with those costs before the age of 65.</w:t>
            </w:r>
          </w:p>
          <w:p w14:paraId="527A2817" w14:textId="77777777" w:rsidR="00451B5E" w:rsidRPr="00451B5E" w:rsidRDefault="00451B5E" w:rsidP="00451B5E">
            <w:pPr>
              <w:jc w:val="both"/>
              <w:rPr>
                <w:rFonts w:cstheme="minorHAnsi"/>
              </w:rPr>
            </w:pPr>
          </w:p>
          <w:p w14:paraId="3360CBBB" w14:textId="77777777" w:rsidR="0040165C" w:rsidRPr="00451B5E" w:rsidRDefault="0040165C" w:rsidP="00451B5E">
            <w:pPr>
              <w:jc w:val="both"/>
              <w:rPr>
                <w:rFonts w:cstheme="minorHAnsi"/>
              </w:rPr>
            </w:pPr>
            <w:r w:rsidRPr="00451B5E">
              <w:rPr>
                <w:rFonts w:cstheme="minorHAnsi"/>
              </w:rPr>
              <w:t>It is part of a wider range of support and services available to disabled people, including support with housing and Council Tax costs, and in the form of services or direct payments from Local Author</w:t>
            </w:r>
            <w:r w:rsidR="00D26F09" w:rsidRPr="00451B5E">
              <w:rPr>
                <w:rFonts w:cstheme="minorHAnsi"/>
              </w:rPr>
              <w:t>ities to meet social care needs</w:t>
            </w:r>
            <w:r w:rsidRPr="00451B5E">
              <w:rPr>
                <w:rFonts w:cstheme="minorHAnsi"/>
              </w:rPr>
              <w:t>.</w:t>
            </w:r>
          </w:p>
          <w:p w14:paraId="23748274" w14:textId="77777777" w:rsidR="0040165C" w:rsidRPr="00451B5E" w:rsidRDefault="0040165C" w:rsidP="00451B5E">
            <w:pPr>
              <w:jc w:val="both"/>
              <w:rPr>
                <w:rFonts w:cstheme="minorHAnsi"/>
              </w:rPr>
            </w:pPr>
            <w:r w:rsidRPr="00451B5E">
              <w:rPr>
                <w:rFonts w:cstheme="minorHAnsi"/>
              </w:rPr>
              <w:t xml:space="preserve">Although it is intended to contribute towards extra costs, measuring each individual’s expenditure would be administratively complex and expensive. Entitlement and award levels are, therefore, based on proxies – care and mobility – as research at the time of DLA’s introduction showed that they were the </w:t>
            </w:r>
            <w:r w:rsidR="00AB18AB">
              <w:rPr>
                <w:rFonts w:cstheme="minorHAnsi"/>
              </w:rPr>
              <w:t>greatest sources of extra costs</w:t>
            </w:r>
            <w:r w:rsidRPr="00451B5E">
              <w:rPr>
                <w:rFonts w:cstheme="minorHAnsi"/>
              </w:rPr>
              <w:t>. The decision about whether to award benefit is not made on the basis of an individual’s costs, but on the severity of their care and mobility needs.</w:t>
            </w:r>
          </w:p>
          <w:p w14:paraId="47BD547D" w14:textId="77777777" w:rsidR="00C16B52" w:rsidRPr="00451B5E" w:rsidRDefault="00C16B52" w:rsidP="00806922">
            <w:pPr>
              <w:rPr>
                <w:rFonts w:cstheme="minorHAnsi"/>
                <w:highlight w:val="yellow"/>
              </w:rPr>
            </w:pPr>
          </w:p>
          <w:p w14:paraId="455F09AA" w14:textId="77777777" w:rsidR="00451B5E" w:rsidRPr="00AB18AB" w:rsidRDefault="00451B5E" w:rsidP="00451B5E">
            <w:pPr>
              <w:autoSpaceDE w:val="0"/>
              <w:autoSpaceDN w:val="0"/>
              <w:adjustRightInd w:val="0"/>
              <w:jc w:val="both"/>
              <w:rPr>
                <w:rFonts w:cs="Arial"/>
                <w:lang w:val="en-US"/>
              </w:rPr>
            </w:pPr>
            <w:r w:rsidRPr="00AB18AB">
              <w:rPr>
                <w:rFonts w:cs="Arial"/>
                <w:lang w:val="en-US"/>
              </w:rPr>
              <w:t>The statistics are based on 100% extracts from the benefit administrative systems.  Data is partially validated and is deemed of sufficiently high quality to report on.</w:t>
            </w:r>
          </w:p>
          <w:p w14:paraId="6A0298D2" w14:textId="77777777" w:rsidR="00451B5E" w:rsidRPr="00AB18AB" w:rsidRDefault="00451B5E" w:rsidP="00451B5E">
            <w:pPr>
              <w:autoSpaceDE w:val="0"/>
              <w:autoSpaceDN w:val="0"/>
              <w:adjustRightInd w:val="0"/>
              <w:jc w:val="both"/>
              <w:rPr>
                <w:rFonts w:cs="Arial"/>
                <w:lang w:val="en-US"/>
              </w:rPr>
            </w:pPr>
          </w:p>
          <w:p w14:paraId="00AD96DF" w14:textId="77777777" w:rsidR="00451B5E" w:rsidRPr="00AB18AB" w:rsidRDefault="00451B5E" w:rsidP="00451B5E">
            <w:pPr>
              <w:autoSpaceDE w:val="0"/>
              <w:autoSpaceDN w:val="0"/>
              <w:adjustRightInd w:val="0"/>
              <w:jc w:val="both"/>
              <w:rPr>
                <w:rFonts w:cs="Arial"/>
                <w:lang w:val="en-US"/>
              </w:rPr>
            </w:pPr>
            <w:r w:rsidRPr="00AB18AB">
              <w:rPr>
                <w:rFonts w:cs="Arial"/>
                <w:lang w:val="en-US"/>
              </w:rPr>
              <w:t>As data is taken from live administrative systems, it relies on the customer reporting correct information about themselves and staff correctly inputting this data into the system.  This does not always occur.  Recent estimates indicate that approximately 1.3% of expenditure on benefits is misallocated due to Fraud and Error.  The Department engages in initiatives to reduce the amount of Fraud and Error in the benefit systems on an ongoing basis.</w:t>
            </w:r>
          </w:p>
          <w:p w14:paraId="1E818FAD" w14:textId="77777777" w:rsidR="00451B5E" w:rsidRPr="00AB18AB" w:rsidRDefault="00451B5E" w:rsidP="00451B5E">
            <w:pPr>
              <w:autoSpaceDE w:val="0"/>
              <w:autoSpaceDN w:val="0"/>
              <w:adjustRightInd w:val="0"/>
              <w:jc w:val="both"/>
              <w:rPr>
                <w:rFonts w:cs="Arial"/>
                <w:lang w:val="en-US"/>
              </w:rPr>
            </w:pPr>
          </w:p>
          <w:p w14:paraId="6B71AF32" w14:textId="77777777" w:rsidR="00806922" w:rsidRPr="00AB18AB" w:rsidRDefault="00451B5E" w:rsidP="00451B5E">
            <w:pPr>
              <w:autoSpaceDE w:val="0"/>
              <w:autoSpaceDN w:val="0"/>
              <w:adjustRightInd w:val="0"/>
              <w:jc w:val="both"/>
              <w:rPr>
                <w:rFonts w:cs="Arial"/>
                <w:lang w:val="en-US"/>
              </w:rPr>
            </w:pPr>
            <w:r w:rsidRPr="00AB18AB">
              <w:rPr>
                <w:rFonts w:cs="Arial"/>
                <w:lang w:val="en-US"/>
              </w:rPr>
              <w:t>Quality assurance of the data begins as soon as the extracts from administrative systems are received and continues right through to publication.  The initial quality focus is on the volume of cases in each file.  Subsequent assurance examines individual fields in detail to ensure that any unexpected changes are understood and represent genuine changes.</w:t>
            </w:r>
          </w:p>
          <w:p w14:paraId="035B0438" w14:textId="77777777" w:rsidR="00610D5A" w:rsidRPr="00AB18AB" w:rsidRDefault="00610D5A" w:rsidP="00610D5A">
            <w:pPr>
              <w:rPr>
                <w:rFonts w:cstheme="minorHAnsi"/>
                <w:b/>
              </w:rPr>
            </w:pPr>
          </w:p>
          <w:p w14:paraId="55BD9B8E" w14:textId="77777777" w:rsidR="00A81952" w:rsidRPr="00511C4E" w:rsidRDefault="00A81952" w:rsidP="00A81952">
            <w:pPr>
              <w:jc w:val="both"/>
              <w:rPr>
                <w:rFonts w:cstheme="minorHAnsi"/>
                <w:b/>
              </w:rPr>
            </w:pPr>
            <w:r w:rsidRPr="00511C4E">
              <w:rPr>
                <w:rFonts w:cstheme="minorHAnsi"/>
              </w:rPr>
              <w:t xml:space="preserve">Further information on the quality and background of </w:t>
            </w:r>
            <w:r>
              <w:rPr>
                <w:rFonts w:cstheme="minorHAnsi"/>
              </w:rPr>
              <w:t>benefit</w:t>
            </w:r>
            <w:r w:rsidRPr="00511C4E">
              <w:rPr>
                <w:rFonts w:cstheme="minorHAnsi"/>
              </w:rPr>
              <w:t xml:space="preserve"> data is available on the </w:t>
            </w:r>
            <w:r>
              <w:rPr>
                <w:rFonts w:cstheme="minorHAnsi"/>
              </w:rPr>
              <w:t>DfC</w:t>
            </w:r>
            <w:r w:rsidRPr="00511C4E">
              <w:rPr>
                <w:rFonts w:cstheme="minorHAnsi"/>
              </w:rPr>
              <w:t xml:space="preserve"> website at:</w:t>
            </w:r>
          </w:p>
          <w:p w14:paraId="66056DCD" w14:textId="77777777" w:rsidR="00451B5E" w:rsidRPr="00A81952" w:rsidRDefault="00DC1CCD" w:rsidP="00610D5A">
            <w:pPr>
              <w:rPr>
                <w:rFonts w:cstheme="minorHAnsi"/>
              </w:rPr>
            </w:pPr>
            <w:hyperlink r:id="rId8" w:history="1">
              <w:r w:rsidR="00A81952" w:rsidRPr="00A81952">
                <w:rPr>
                  <w:rStyle w:val="Hyperlink"/>
                  <w:rFonts w:cstheme="minorHAnsi"/>
                </w:rPr>
                <w:t>https://www.communities-ni.gov.uk/topics/benefits-statistics</w:t>
              </w:r>
            </w:hyperlink>
          </w:p>
          <w:p w14:paraId="79523BCB" w14:textId="77777777" w:rsidR="00451B5E" w:rsidRPr="00451B5E" w:rsidRDefault="00451B5E" w:rsidP="00610D5A">
            <w:pPr>
              <w:rPr>
                <w:rFonts w:cstheme="minorHAnsi"/>
                <w:b/>
              </w:rPr>
            </w:pPr>
          </w:p>
        </w:tc>
      </w:tr>
      <w:tr w:rsidR="0075080D" w:rsidRPr="00AD405C" w14:paraId="2F294084" w14:textId="77777777" w:rsidTr="004F1B13">
        <w:tc>
          <w:tcPr>
            <w:tcW w:w="10598" w:type="dxa"/>
            <w:gridSpan w:val="2"/>
            <w:shd w:val="clear" w:color="auto" w:fill="CCC0D9" w:themeFill="accent4" w:themeFillTint="66"/>
          </w:tcPr>
          <w:p w14:paraId="66859EC8" w14:textId="77777777" w:rsidR="0075080D" w:rsidRPr="00AD405C" w:rsidRDefault="00EB02E4" w:rsidP="00C814AB">
            <w:pPr>
              <w:rPr>
                <w:rFonts w:cstheme="minorHAnsi"/>
                <w:b/>
                <w:color w:val="244061" w:themeColor="accent1" w:themeShade="80"/>
              </w:rPr>
            </w:pPr>
            <w:r w:rsidRPr="00AD405C">
              <w:rPr>
                <w:rFonts w:cstheme="minorHAnsi"/>
                <w:b/>
                <w:color w:val="244061" w:themeColor="accent1" w:themeShade="80"/>
              </w:rPr>
              <w:t xml:space="preserve">DEMOGRAPHIC INFORMATION </w:t>
            </w:r>
          </w:p>
        </w:tc>
      </w:tr>
      <w:tr w:rsidR="008565EA" w:rsidRPr="008565EA" w14:paraId="3F5DC98F" w14:textId="77777777" w:rsidTr="004F1B13">
        <w:trPr>
          <w:trHeight w:val="983"/>
        </w:trPr>
        <w:tc>
          <w:tcPr>
            <w:tcW w:w="10598" w:type="dxa"/>
            <w:gridSpan w:val="2"/>
          </w:tcPr>
          <w:p w14:paraId="5C9CC3F8" w14:textId="77777777" w:rsidR="001C42BC" w:rsidRPr="008565EA" w:rsidRDefault="001C42BC" w:rsidP="003D660D">
            <w:pPr>
              <w:rPr>
                <w:rFonts w:cstheme="minorHAnsi"/>
              </w:rPr>
            </w:pPr>
          </w:p>
          <w:p w14:paraId="0516EDE5" w14:textId="77777777" w:rsidR="00806922" w:rsidRPr="008565EA" w:rsidRDefault="00806922" w:rsidP="00806922">
            <w:pPr>
              <w:rPr>
                <w:rFonts w:cstheme="minorHAnsi"/>
              </w:rPr>
            </w:pPr>
            <w:r w:rsidRPr="008565EA">
              <w:rPr>
                <w:rFonts w:cstheme="minorHAnsi"/>
              </w:rPr>
              <w:t>Information available to the TTP for linkage purposes -</w:t>
            </w:r>
          </w:p>
          <w:p w14:paraId="5BB113C6" w14:textId="77777777" w:rsidR="00806922" w:rsidRPr="00E24874" w:rsidRDefault="00806922" w:rsidP="00806922">
            <w:pPr>
              <w:rPr>
                <w:rFonts w:cstheme="minorHAnsi"/>
                <w:sz w:val="16"/>
                <w:szCs w:val="16"/>
              </w:rPr>
            </w:pPr>
          </w:p>
          <w:p w14:paraId="33508BDD" w14:textId="77777777" w:rsidR="00806922" w:rsidRPr="008565EA" w:rsidRDefault="00E24874" w:rsidP="00806922">
            <w:pPr>
              <w:pStyle w:val="ListParagraph"/>
              <w:numPr>
                <w:ilvl w:val="0"/>
                <w:numId w:val="36"/>
              </w:numPr>
              <w:rPr>
                <w:rFonts w:cstheme="minorHAnsi"/>
              </w:rPr>
            </w:pPr>
            <w:r>
              <w:rPr>
                <w:rFonts w:cstheme="minorHAnsi"/>
              </w:rPr>
              <w:t>Name -  Forename</w:t>
            </w:r>
            <w:r w:rsidR="00806922" w:rsidRPr="008565EA">
              <w:rPr>
                <w:rFonts w:cstheme="minorHAnsi"/>
              </w:rPr>
              <w:t>, Midname(s) and Surname (previous name information available from historical datasets)</w:t>
            </w:r>
          </w:p>
          <w:p w14:paraId="34127D92" w14:textId="77777777" w:rsidR="00806922" w:rsidRPr="008565EA" w:rsidRDefault="00806922" w:rsidP="00806922">
            <w:pPr>
              <w:pStyle w:val="ListParagraph"/>
              <w:numPr>
                <w:ilvl w:val="0"/>
                <w:numId w:val="36"/>
              </w:numPr>
              <w:rPr>
                <w:rFonts w:cstheme="minorHAnsi"/>
              </w:rPr>
            </w:pPr>
            <w:r w:rsidRPr="008565EA">
              <w:rPr>
                <w:rFonts w:cstheme="minorHAnsi"/>
              </w:rPr>
              <w:t xml:space="preserve">Address  – unspecified address fields plus postcode </w:t>
            </w:r>
            <w:r w:rsidR="008B30C5" w:rsidRPr="008565EA">
              <w:rPr>
                <w:rFonts w:cstheme="minorHAnsi"/>
              </w:rPr>
              <w:t xml:space="preserve">and UPRN </w:t>
            </w:r>
            <w:r w:rsidRPr="008565EA">
              <w:rPr>
                <w:rFonts w:cstheme="minorHAnsi"/>
              </w:rPr>
              <w:t>(previous address information available from historical datasets)</w:t>
            </w:r>
          </w:p>
          <w:p w14:paraId="44680D2D" w14:textId="77777777" w:rsidR="00806922" w:rsidRPr="008565EA" w:rsidRDefault="00806922" w:rsidP="00806922">
            <w:pPr>
              <w:pStyle w:val="ListParagraph"/>
              <w:numPr>
                <w:ilvl w:val="0"/>
                <w:numId w:val="36"/>
              </w:numPr>
              <w:rPr>
                <w:rFonts w:cstheme="minorHAnsi"/>
              </w:rPr>
            </w:pPr>
            <w:r w:rsidRPr="008565EA">
              <w:rPr>
                <w:rFonts w:cstheme="minorHAnsi"/>
              </w:rPr>
              <w:t>Gender</w:t>
            </w:r>
          </w:p>
          <w:p w14:paraId="66CE4798" w14:textId="77777777" w:rsidR="00806922" w:rsidRPr="008565EA" w:rsidRDefault="00806922" w:rsidP="00806922">
            <w:pPr>
              <w:pStyle w:val="ListParagraph"/>
              <w:numPr>
                <w:ilvl w:val="0"/>
                <w:numId w:val="36"/>
              </w:numPr>
              <w:rPr>
                <w:rFonts w:cstheme="minorHAnsi"/>
              </w:rPr>
            </w:pPr>
            <w:r w:rsidRPr="008565EA">
              <w:rPr>
                <w:rFonts w:cstheme="minorHAnsi"/>
              </w:rPr>
              <w:t>Date of birth</w:t>
            </w:r>
          </w:p>
          <w:p w14:paraId="129D80AB" w14:textId="77777777" w:rsidR="0058614E" w:rsidRPr="008565EA" w:rsidRDefault="0058614E" w:rsidP="008C0DE4">
            <w:pPr>
              <w:rPr>
                <w:rFonts w:cstheme="minorHAnsi"/>
              </w:rPr>
            </w:pPr>
          </w:p>
        </w:tc>
      </w:tr>
      <w:tr w:rsidR="008565EA" w:rsidRPr="008565EA" w14:paraId="7F0337A6" w14:textId="77777777" w:rsidTr="004F1B13">
        <w:tc>
          <w:tcPr>
            <w:tcW w:w="10598" w:type="dxa"/>
            <w:gridSpan w:val="2"/>
            <w:shd w:val="clear" w:color="auto" w:fill="CCC0D9" w:themeFill="accent4" w:themeFillTint="66"/>
          </w:tcPr>
          <w:p w14:paraId="0C0A3796" w14:textId="77777777" w:rsidR="00F73199" w:rsidRPr="008565EA" w:rsidRDefault="00FB6994" w:rsidP="00C814AB">
            <w:pPr>
              <w:rPr>
                <w:rFonts w:cstheme="minorHAnsi"/>
                <w:b/>
              </w:rPr>
            </w:pPr>
            <w:r w:rsidRPr="008565EA">
              <w:rPr>
                <w:rFonts w:cstheme="minorHAnsi"/>
                <w:b/>
              </w:rPr>
              <w:lastRenderedPageBreak/>
              <w:t>DATA QUALITY &amp; PRE-PROCESSING</w:t>
            </w:r>
          </w:p>
        </w:tc>
      </w:tr>
      <w:tr w:rsidR="008565EA" w:rsidRPr="008565EA" w14:paraId="798D9A0A" w14:textId="77777777" w:rsidTr="00A2425C">
        <w:trPr>
          <w:trHeight w:val="693"/>
        </w:trPr>
        <w:tc>
          <w:tcPr>
            <w:tcW w:w="10598" w:type="dxa"/>
            <w:gridSpan w:val="2"/>
          </w:tcPr>
          <w:p w14:paraId="397AEA6B" w14:textId="77777777" w:rsidR="00A601BB" w:rsidRPr="008565EA" w:rsidRDefault="00A601BB" w:rsidP="00FF6834">
            <w:pPr>
              <w:rPr>
                <w:rFonts w:cstheme="minorHAnsi"/>
              </w:rPr>
            </w:pPr>
          </w:p>
          <w:p w14:paraId="3B7FE250" w14:textId="77777777" w:rsidR="00806922" w:rsidRPr="008565EA" w:rsidRDefault="00806922" w:rsidP="00806922">
            <w:pPr>
              <w:rPr>
                <w:rFonts w:cstheme="minorHAnsi"/>
              </w:rPr>
            </w:pPr>
            <w:r w:rsidRPr="008565EA">
              <w:rPr>
                <w:rFonts w:cstheme="minorHAnsi"/>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p>
          <w:p w14:paraId="3419EFEE" w14:textId="77777777" w:rsidR="00806922" w:rsidRPr="008565EA" w:rsidRDefault="00806922" w:rsidP="00806922">
            <w:pPr>
              <w:rPr>
                <w:rFonts w:cstheme="minorHAnsi"/>
              </w:rPr>
            </w:pPr>
          </w:p>
          <w:p w14:paraId="62164145" w14:textId="77777777" w:rsidR="00806922" w:rsidRPr="008565EA" w:rsidRDefault="00806922" w:rsidP="00806922">
            <w:pPr>
              <w:rPr>
                <w:rFonts w:cstheme="minorHAnsi"/>
              </w:rPr>
            </w:pPr>
            <w:r w:rsidRPr="008565EA">
              <w:rPr>
                <w:rFonts w:cstheme="minorHAnsi"/>
                <w:b/>
              </w:rPr>
              <w:t xml:space="preserve">NAME INFORMATION- </w:t>
            </w:r>
            <w:r w:rsidRPr="008565EA">
              <w:rPr>
                <w:rFonts w:cstheme="minorHAnsi"/>
              </w:rPr>
              <w:t>Name information</w:t>
            </w:r>
            <w:r w:rsidR="008B30C5" w:rsidRPr="008565EA">
              <w:rPr>
                <w:rFonts w:cstheme="minorHAnsi"/>
              </w:rPr>
              <w:t xml:space="preserve"> (forename and surname) </w:t>
            </w:r>
            <w:r w:rsidRPr="008565EA">
              <w:rPr>
                <w:rFonts w:cstheme="minorHAnsi"/>
              </w:rPr>
              <w:t>is available for 100% of records</w:t>
            </w:r>
            <w:r w:rsidR="008B30C5" w:rsidRPr="008565EA">
              <w:rPr>
                <w:rFonts w:cstheme="minorHAnsi"/>
              </w:rPr>
              <w:t xml:space="preserve"> for 2010 and 2011, with information available for </w:t>
            </w:r>
            <w:r w:rsidR="0043114E">
              <w:rPr>
                <w:rFonts w:cstheme="minorHAnsi"/>
              </w:rPr>
              <w:t>&gt;</w:t>
            </w:r>
            <w:r w:rsidR="008B30C5" w:rsidRPr="008565EA">
              <w:rPr>
                <w:rFonts w:cstheme="minorHAnsi"/>
              </w:rPr>
              <w:t>99.9% of records for 2012</w:t>
            </w:r>
            <w:r w:rsidRPr="008565EA">
              <w:rPr>
                <w:rFonts w:cstheme="minorHAnsi"/>
              </w:rPr>
              <w:t xml:space="preserve">. Midname is populated where applicable. </w:t>
            </w:r>
          </w:p>
          <w:p w14:paraId="0AD2DCAB" w14:textId="77777777" w:rsidR="00806922" w:rsidRPr="008565EA" w:rsidRDefault="00806922" w:rsidP="00806922">
            <w:pPr>
              <w:rPr>
                <w:rFonts w:cstheme="minorHAnsi"/>
              </w:rPr>
            </w:pPr>
          </w:p>
          <w:p w14:paraId="5668557A" w14:textId="77777777" w:rsidR="00806922" w:rsidRPr="008565EA" w:rsidRDefault="00806922" w:rsidP="00806922">
            <w:pPr>
              <w:rPr>
                <w:rFonts w:cstheme="minorHAnsi"/>
              </w:rPr>
            </w:pPr>
            <w:r w:rsidRPr="008565EA">
              <w:rPr>
                <w:rFonts w:cstheme="minorHAnsi"/>
              </w:rPr>
              <w:t>- Punctuation and characters which do not appear in the English alphabet (e.g. Á , %, $ ...) can appear in the name information. A function can be used to replace these with usable characters;</w:t>
            </w:r>
            <w:r w:rsidR="008B30C5" w:rsidRPr="008565EA">
              <w:rPr>
                <w:rFonts w:cstheme="minorHAnsi"/>
              </w:rPr>
              <w:t xml:space="preserve"> </w:t>
            </w:r>
          </w:p>
          <w:p w14:paraId="7BA3FC7D" w14:textId="77777777" w:rsidR="00FF6834" w:rsidRPr="008565EA" w:rsidRDefault="00FF6834" w:rsidP="00FF6834">
            <w:pPr>
              <w:rPr>
                <w:rFonts w:cstheme="minorHAnsi"/>
                <w:highlight w:val="green"/>
              </w:rPr>
            </w:pPr>
          </w:p>
          <w:p w14:paraId="5D1A3913" w14:textId="77777777" w:rsidR="00E73A8C" w:rsidRPr="008565EA" w:rsidRDefault="00FF6834" w:rsidP="002C2D54">
            <w:r w:rsidRPr="008565EA">
              <w:rPr>
                <w:rFonts w:cstheme="minorHAnsi"/>
                <w:b/>
              </w:rPr>
              <w:t>ADDRESS INFORMATION</w:t>
            </w:r>
            <w:r w:rsidR="00BF65B9" w:rsidRPr="008565EA">
              <w:rPr>
                <w:rFonts w:cstheme="minorHAnsi"/>
                <w:b/>
              </w:rPr>
              <w:t xml:space="preserve">- </w:t>
            </w:r>
            <w:r w:rsidR="006725A5" w:rsidRPr="008565EA">
              <w:rPr>
                <w:rFonts w:cstheme="minorHAnsi"/>
              </w:rPr>
              <w:t>House number, street name and town</w:t>
            </w:r>
            <w:r w:rsidR="00D24F9A" w:rsidRPr="008565EA">
              <w:rPr>
                <w:rFonts w:cstheme="minorHAnsi"/>
              </w:rPr>
              <w:t xml:space="preserve"> of the current address</w:t>
            </w:r>
            <w:r w:rsidR="006725A5" w:rsidRPr="008565EA">
              <w:rPr>
                <w:rFonts w:cstheme="minorHAnsi"/>
              </w:rPr>
              <w:t xml:space="preserve"> </w:t>
            </w:r>
            <w:r w:rsidR="00D24F9A" w:rsidRPr="008565EA">
              <w:rPr>
                <w:rFonts w:cstheme="minorHAnsi"/>
              </w:rPr>
              <w:t>is</w:t>
            </w:r>
            <w:r w:rsidR="006725A5" w:rsidRPr="008565EA">
              <w:rPr>
                <w:rFonts w:cstheme="minorHAnsi"/>
              </w:rPr>
              <w:t xml:space="preserve"> </w:t>
            </w:r>
            <w:r w:rsidR="008816F7" w:rsidRPr="008565EA">
              <w:rPr>
                <w:rFonts w:cstheme="minorHAnsi"/>
              </w:rPr>
              <w:t>un</w:t>
            </w:r>
            <w:r w:rsidR="006725A5" w:rsidRPr="008565EA">
              <w:rPr>
                <w:rFonts w:cstheme="minorHAnsi"/>
              </w:rPr>
              <w:t>available for</w:t>
            </w:r>
            <w:r w:rsidR="003C44D2">
              <w:rPr>
                <w:rFonts w:cstheme="minorHAnsi"/>
              </w:rPr>
              <w:t xml:space="preserve"> 0.2</w:t>
            </w:r>
            <w:r w:rsidR="008816F7" w:rsidRPr="008565EA">
              <w:rPr>
                <w:rFonts w:cstheme="minorHAnsi"/>
              </w:rPr>
              <w:t xml:space="preserve">% </w:t>
            </w:r>
            <w:r w:rsidR="001744B9" w:rsidRPr="008565EA">
              <w:rPr>
                <w:rFonts w:cstheme="minorHAnsi"/>
              </w:rPr>
              <w:t>of records</w:t>
            </w:r>
            <w:r w:rsidR="004B7313" w:rsidRPr="008565EA">
              <w:rPr>
                <w:rFonts w:cstheme="minorHAnsi"/>
              </w:rPr>
              <w:t>. Postcode information</w:t>
            </w:r>
            <w:r w:rsidR="00C16B52" w:rsidRPr="008565EA">
              <w:rPr>
                <w:rFonts w:cstheme="minorHAnsi"/>
              </w:rPr>
              <w:t xml:space="preserve"> has improved over time, from 99.3</w:t>
            </w:r>
            <w:r w:rsidR="004B7313" w:rsidRPr="008565EA">
              <w:rPr>
                <w:rFonts w:cstheme="minorHAnsi"/>
              </w:rPr>
              <w:t>% (</w:t>
            </w:r>
            <w:r w:rsidR="00C16B52" w:rsidRPr="008565EA">
              <w:rPr>
                <w:rFonts w:cstheme="minorHAnsi"/>
              </w:rPr>
              <w:t>2010</w:t>
            </w:r>
            <w:r w:rsidR="00120280">
              <w:rPr>
                <w:rFonts w:cstheme="minorHAnsi"/>
              </w:rPr>
              <w:t xml:space="preserve">) to </w:t>
            </w:r>
            <w:r w:rsidR="004B7313" w:rsidRPr="008565EA">
              <w:rPr>
                <w:rFonts w:cstheme="minorHAnsi"/>
              </w:rPr>
              <w:t>99</w:t>
            </w:r>
            <w:r w:rsidR="00C16B52" w:rsidRPr="008565EA">
              <w:rPr>
                <w:rFonts w:cstheme="minorHAnsi"/>
              </w:rPr>
              <w:t>.6</w:t>
            </w:r>
            <w:r w:rsidR="004B7313" w:rsidRPr="008565EA">
              <w:rPr>
                <w:rFonts w:cstheme="minorHAnsi"/>
              </w:rPr>
              <w:t>% (</w:t>
            </w:r>
            <w:r w:rsidR="00C16B52" w:rsidRPr="008565EA">
              <w:rPr>
                <w:rFonts w:cstheme="minorHAnsi"/>
              </w:rPr>
              <w:t>2012</w:t>
            </w:r>
            <w:r w:rsidR="004B7313" w:rsidRPr="008565EA">
              <w:rPr>
                <w:rFonts w:cstheme="minorHAnsi"/>
              </w:rPr>
              <w:t xml:space="preserve">) </w:t>
            </w:r>
            <w:r w:rsidR="00E73A8C" w:rsidRPr="008565EA">
              <w:rPr>
                <w:rFonts w:cstheme="minorHAnsi"/>
              </w:rPr>
              <w:t>of records hav</w:t>
            </w:r>
            <w:r w:rsidR="004B7313" w:rsidRPr="008565EA">
              <w:rPr>
                <w:rFonts w:cstheme="minorHAnsi"/>
              </w:rPr>
              <w:t>ing</w:t>
            </w:r>
            <w:r w:rsidR="00E73A8C" w:rsidRPr="008565EA">
              <w:rPr>
                <w:rFonts w:cstheme="minorHAnsi"/>
              </w:rPr>
              <w:t xml:space="preserve"> a </w:t>
            </w:r>
            <w:r w:rsidR="00A8713F" w:rsidRPr="008565EA">
              <w:rPr>
                <w:rFonts w:cstheme="minorHAnsi"/>
              </w:rPr>
              <w:t xml:space="preserve">valid </w:t>
            </w:r>
            <w:r w:rsidR="00E73A8C" w:rsidRPr="008565EA">
              <w:rPr>
                <w:rFonts w:cstheme="minorHAnsi"/>
              </w:rPr>
              <w:t>Postcode</w:t>
            </w:r>
            <w:r w:rsidR="00D24F9A" w:rsidRPr="008565EA">
              <w:rPr>
                <w:rFonts w:cstheme="minorHAnsi"/>
              </w:rPr>
              <w:t xml:space="preserve">. </w:t>
            </w:r>
            <w:r w:rsidR="00C16B52" w:rsidRPr="008565EA">
              <w:t>A small number of records (≤ 5) had a usual postcode outside of Northern Ireland.</w:t>
            </w:r>
            <w:r w:rsidR="003C44D2">
              <w:t xml:space="preserve"> UPRN is also available for 95% of records. </w:t>
            </w:r>
          </w:p>
          <w:p w14:paraId="520C7CDF" w14:textId="77777777" w:rsidR="00E73A8C" w:rsidRPr="008565EA" w:rsidRDefault="00E73A8C" w:rsidP="002C2D54">
            <w:pPr>
              <w:rPr>
                <w:rFonts w:cstheme="minorHAnsi"/>
              </w:rPr>
            </w:pPr>
          </w:p>
          <w:p w14:paraId="441F513A" w14:textId="77777777" w:rsidR="008927F4" w:rsidRPr="008565EA" w:rsidRDefault="00E73A8C" w:rsidP="00E73A8C">
            <w:pPr>
              <w:rPr>
                <w:rFonts w:cstheme="minorHAnsi"/>
              </w:rPr>
            </w:pPr>
            <w:r w:rsidRPr="008565EA">
              <w:rPr>
                <w:rFonts w:cstheme="minorHAnsi"/>
              </w:rPr>
              <w:t xml:space="preserve">- Address and </w:t>
            </w:r>
            <w:r w:rsidR="002C2D54" w:rsidRPr="008565EA">
              <w:rPr>
                <w:rFonts w:cstheme="minorHAnsi"/>
              </w:rPr>
              <w:t>Postcode information is standardised prior to linkage.</w:t>
            </w:r>
          </w:p>
          <w:p w14:paraId="007BEC3A" w14:textId="77777777" w:rsidR="00FF6834" w:rsidRPr="008565EA" w:rsidRDefault="00FF6834" w:rsidP="00FF6834">
            <w:pPr>
              <w:rPr>
                <w:rFonts w:cstheme="minorHAnsi"/>
                <w:highlight w:val="green"/>
              </w:rPr>
            </w:pPr>
          </w:p>
          <w:p w14:paraId="2D220B7E" w14:textId="77777777" w:rsidR="00FF6834" w:rsidRPr="008565EA" w:rsidRDefault="00FF6834" w:rsidP="00FF6834">
            <w:pPr>
              <w:rPr>
                <w:rFonts w:cstheme="minorHAnsi"/>
              </w:rPr>
            </w:pPr>
            <w:r w:rsidRPr="008565EA">
              <w:rPr>
                <w:rFonts w:cstheme="minorHAnsi"/>
                <w:b/>
              </w:rPr>
              <w:t xml:space="preserve">GENDER- </w:t>
            </w:r>
            <w:r w:rsidR="00663197" w:rsidRPr="008565EA">
              <w:rPr>
                <w:rFonts w:cstheme="minorHAnsi"/>
              </w:rPr>
              <w:t xml:space="preserve">Information </w:t>
            </w:r>
            <w:r w:rsidR="00134D73" w:rsidRPr="008565EA">
              <w:rPr>
                <w:rFonts w:cstheme="minorHAnsi"/>
              </w:rPr>
              <w:t xml:space="preserve">relating to the gender </w:t>
            </w:r>
            <w:r w:rsidR="00663197" w:rsidRPr="008565EA">
              <w:rPr>
                <w:rFonts w:cstheme="minorHAnsi"/>
              </w:rPr>
              <w:t xml:space="preserve">of the individual is available for </w:t>
            </w:r>
            <w:r w:rsidR="000E511C" w:rsidRPr="008565EA">
              <w:rPr>
                <w:rFonts w:cstheme="minorHAnsi"/>
              </w:rPr>
              <w:t>all</w:t>
            </w:r>
            <w:r w:rsidR="00663197" w:rsidRPr="008565EA">
              <w:rPr>
                <w:rFonts w:cstheme="minorHAnsi"/>
              </w:rPr>
              <w:t xml:space="preserve"> records</w:t>
            </w:r>
            <w:r w:rsidR="00782056" w:rsidRPr="008565EA">
              <w:rPr>
                <w:rFonts w:cstheme="minorHAnsi"/>
              </w:rPr>
              <w:t>.</w:t>
            </w:r>
          </w:p>
          <w:p w14:paraId="0E1FB0E0" w14:textId="77777777" w:rsidR="00FF6834" w:rsidRPr="008565EA" w:rsidRDefault="00FF6834" w:rsidP="00FF6834">
            <w:pPr>
              <w:rPr>
                <w:rFonts w:cstheme="minorHAnsi"/>
              </w:rPr>
            </w:pPr>
          </w:p>
          <w:p w14:paraId="70D14705" w14:textId="77777777" w:rsidR="00FF6834" w:rsidRPr="008565EA" w:rsidRDefault="00FF6834" w:rsidP="00FF6834">
            <w:pPr>
              <w:rPr>
                <w:rFonts w:cstheme="minorHAnsi"/>
              </w:rPr>
            </w:pPr>
            <w:r w:rsidRPr="008565EA">
              <w:rPr>
                <w:rFonts w:cstheme="minorHAnsi"/>
              </w:rPr>
              <w:t>- Gender information should be standardised prior to linkage.</w:t>
            </w:r>
          </w:p>
          <w:p w14:paraId="279E7182" w14:textId="77777777" w:rsidR="000C395F" w:rsidRPr="008565EA" w:rsidRDefault="000C395F" w:rsidP="00FF6834">
            <w:pPr>
              <w:rPr>
                <w:rFonts w:cstheme="minorHAnsi"/>
              </w:rPr>
            </w:pPr>
          </w:p>
          <w:p w14:paraId="04754CA4" w14:textId="77777777" w:rsidR="00FF6834" w:rsidRPr="008565EA" w:rsidRDefault="00FF6834" w:rsidP="00FF6834">
            <w:pPr>
              <w:rPr>
                <w:rFonts w:cstheme="minorHAnsi"/>
              </w:rPr>
            </w:pPr>
            <w:r w:rsidRPr="008565EA">
              <w:rPr>
                <w:rFonts w:cstheme="minorHAnsi"/>
                <w:b/>
              </w:rPr>
              <w:t xml:space="preserve">DATE OF BIRTH- </w:t>
            </w:r>
            <w:r w:rsidR="009D7A4A" w:rsidRPr="008565EA">
              <w:rPr>
                <w:rFonts w:cstheme="minorHAnsi"/>
              </w:rPr>
              <w:t>In</w:t>
            </w:r>
            <w:r w:rsidR="000C395F" w:rsidRPr="008565EA">
              <w:rPr>
                <w:rFonts w:cstheme="minorHAnsi"/>
              </w:rPr>
              <w:t xml:space="preserve">formation is available for </w:t>
            </w:r>
            <w:r w:rsidR="00C16B52" w:rsidRPr="008565EA">
              <w:rPr>
                <w:rFonts w:cstheme="minorHAnsi"/>
              </w:rPr>
              <w:t xml:space="preserve">100% </w:t>
            </w:r>
            <w:r w:rsidR="00294D80" w:rsidRPr="008565EA">
              <w:rPr>
                <w:rFonts w:cstheme="minorHAnsi"/>
              </w:rPr>
              <w:t>of</w:t>
            </w:r>
            <w:r w:rsidR="009D7A4A" w:rsidRPr="008565EA">
              <w:rPr>
                <w:rFonts w:cstheme="minorHAnsi"/>
              </w:rPr>
              <w:t xml:space="preserve"> records</w:t>
            </w:r>
          </w:p>
          <w:p w14:paraId="2309DCD6" w14:textId="77777777" w:rsidR="00FF6834" w:rsidRPr="008565EA" w:rsidRDefault="00FF6834" w:rsidP="00FF6834">
            <w:pPr>
              <w:rPr>
                <w:rFonts w:cstheme="minorHAnsi"/>
              </w:rPr>
            </w:pPr>
          </w:p>
          <w:p w14:paraId="4C69CC7E" w14:textId="77777777" w:rsidR="00FF6834" w:rsidRPr="008565EA" w:rsidRDefault="00FF6834" w:rsidP="00FF6834">
            <w:pPr>
              <w:rPr>
                <w:rFonts w:cstheme="minorHAnsi"/>
              </w:rPr>
            </w:pPr>
            <w:r w:rsidRPr="008565EA">
              <w:rPr>
                <w:rFonts w:cstheme="minorHAnsi"/>
              </w:rPr>
              <w:t xml:space="preserve">- Date of birth </w:t>
            </w:r>
            <w:r w:rsidR="00A81952" w:rsidRPr="008565EA">
              <w:rPr>
                <w:rFonts w:cstheme="minorHAnsi"/>
              </w:rPr>
              <w:t>will</w:t>
            </w:r>
            <w:r w:rsidRPr="008565EA">
              <w:rPr>
                <w:rFonts w:cstheme="minorHAnsi"/>
              </w:rPr>
              <w:t xml:space="preserve"> be parsed into its constituent parts (day, month and year) prior to linkage</w:t>
            </w:r>
          </w:p>
          <w:p w14:paraId="11D6D3F2" w14:textId="77777777" w:rsidR="00806922" w:rsidRPr="008565EA" w:rsidRDefault="00806922" w:rsidP="00C16B52">
            <w:pPr>
              <w:rPr>
                <w:rFonts w:cstheme="minorHAnsi"/>
                <w:i/>
              </w:rPr>
            </w:pPr>
          </w:p>
        </w:tc>
      </w:tr>
      <w:tr w:rsidR="008565EA" w:rsidRPr="008565EA" w14:paraId="789DBFBA" w14:textId="77777777" w:rsidTr="004F1B13">
        <w:tc>
          <w:tcPr>
            <w:tcW w:w="10598" w:type="dxa"/>
            <w:gridSpan w:val="2"/>
            <w:tcBorders>
              <w:bottom w:val="single" w:sz="4" w:space="0" w:color="auto"/>
            </w:tcBorders>
            <w:shd w:val="clear" w:color="auto" w:fill="B8CCE4" w:themeFill="accent1" w:themeFillTint="66"/>
          </w:tcPr>
          <w:p w14:paraId="485B7B80" w14:textId="77777777" w:rsidR="0008676C" w:rsidRPr="008565EA" w:rsidRDefault="00EB02E4" w:rsidP="00EB02E4">
            <w:pPr>
              <w:rPr>
                <w:rFonts w:cstheme="minorHAnsi"/>
                <w:b/>
              </w:rPr>
            </w:pPr>
            <w:r w:rsidRPr="008565EA">
              <w:rPr>
                <w:rFonts w:cstheme="minorHAnsi"/>
                <w:b/>
              </w:rPr>
              <w:t>MATCHING METHODS</w:t>
            </w:r>
          </w:p>
        </w:tc>
      </w:tr>
      <w:tr w:rsidR="008565EA" w:rsidRPr="008565EA" w14:paraId="6C9C3DBE" w14:textId="77777777" w:rsidTr="004F1B13">
        <w:tc>
          <w:tcPr>
            <w:tcW w:w="10598" w:type="dxa"/>
            <w:gridSpan w:val="2"/>
          </w:tcPr>
          <w:p w14:paraId="56D147CB" w14:textId="77777777" w:rsidR="002B2A9D" w:rsidRPr="008565EA" w:rsidRDefault="002B2A9D" w:rsidP="003D660D">
            <w:pPr>
              <w:rPr>
                <w:rFonts w:cstheme="minorHAnsi"/>
              </w:rPr>
            </w:pPr>
          </w:p>
          <w:p w14:paraId="35BC0F16" w14:textId="77777777" w:rsidR="000F6C31" w:rsidRPr="008565EA" w:rsidRDefault="001451A0" w:rsidP="003D660D">
            <w:pPr>
              <w:rPr>
                <w:rFonts w:cstheme="minorHAnsi"/>
              </w:rPr>
            </w:pPr>
            <w:r w:rsidRPr="008565EA">
              <w:rPr>
                <w:rFonts w:cstheme="minorHAnsi"/>
              </w:rPr>
              <w:t>Using the demographic information provided the following matching can be undertaken-</w:t>
            </w:r>
          </w:p>
          <w:p w14:paraId="0A9B9EC1" w14:textId="77777777" w:rsidR="001451A0" w:rsidRPr="008565EA" w:rsidRDefault="001451A0" w:rsidP="003D660D">
            <w:pPr>
              <w:rPr>
                <w:rFonts w:cstheme="minorHAnsi"/>
              </w:rPr>
            </w:pPr>
          </w:p>
          <w:p w14:paraId="0F260AD6" w14:textId="77777777" w:rsidR="001451A0" w:rsidRPr="008565EA" w:rsidRDefault="001451A0" w:rsidP="003D660D">
            <w:pPr>
              <w:rPr>
                <w:rFonts w:cstheme="minorHAnsi"/>
              </w:rPr>
            </w:pPr>
            <w:r w:rsidRPr="008565EA">
              <w:rPr>
                <w:rFonts w:cstheme="minorHAnsi"/>
              </w:rPr>
              <w:t>- Person matching</w:t>
            </w:r>
            <w:r w:rsidR="007520F1" w:rsidRPr="008565EA">
              <w:rPr>
                <w:rFonts w:cstheme="minorHAnsi"/>
              </w:rPr>
              <w:t xml:space="preserve"> </w:t>
            </w:r>
          </w:p>
          <w:p w14:paraId="417A7A7A" w14:textId="77777777" w:rsidR="00A32A7A" w:rsidRPr="008565EA" w:rsidRDefault="001451A0" w:rsidP="003D660D">
            <w:pPr>
              <w:rPr>
                <w:rFonts w:cstheme="minorHAnsi"/>
              </w:rPr>
            </w:pPr>
            <w:r w:rsidRPr="008565EA">
              <w:rPr>
                <w:rFonts w:cstheme="minorHAnsi"/>
              </w:rPr>
              <w:t>- Address matching</w:t>
            </w:r>
            <w:r w:rsidR="002631A3" w:rsidRPr="008565EA">
              <w:rPr>
                <w:rFonts w:cstheme="minorHAnsi"/>
              </w:rPr>
              <w:t xml:space="preserve"> </w:t>
            </w:r>
          </w:p>
          <w:p w14:paraId="12B95FC8" w14:textId="77777777" w:rsidR="00181388" w:rsidRPr="008565EA" w:rsidRDefault="00181388" w:rsidP="00644575">
            <w:pPr>
              <w:rPr>
                <w:rFonts w:cstheme="minorHAnsi"/>
                <w:u w:val="single"/>
              </w:rPr>
            </w:pPr>
          </w:p>
        </w:tc>
      </w:tr>
      <w:tr w:rsidR="008565EA" w:rsidRPr="008565EA" w14:paraId="3F425153" w14:textId="77777777" w:rsidTr="004F1B13">
        <w:tc>
          <w:tcPr>
            <w:tcW w:w="10598" w:type="dxa"/>
            <w:gridSpan w:val="2"/>
            <w:tcBorders>
              <w:bottom w:val="single" w:sz="4" w:space="0" w:color="auto"/>
            </w:tcBorders>
            <w:shd w:val="clear" w:color="auto" w:fill="B8CCE4" w:themeFill="accent1" w:themeFillTint="66"/>
          </w:tcPr>
          <w:p w14:paraId="40F983CE" w14:textId="77777777" w:rsidR="0089169C" w:rsidRPr="008565EA" w:rsidRDefault="00EB02E4" w:rsidP="00EB02E4">
            <w:pPr>
              <w:rPr>
                <w:rFonts w:cstheme="minorHAnsi"/>
                <w:b/>
              </w:rPr>
            </w:pPr>
            <w:r w:rsidRPr="008565EA">
              <w:rPr>
                <w:rFonts w:cstheme="minorHAnsi"/>
                <w:b/>
              </w:rPr>
              <w:t>PREVIOUS LINKAGE MATCH RATES</w:t>
            </w:r>
          </w:p>
        </w:tc>
      </w:tr>
      <w:tr w:rsidR="008565EA" w:rsidRPr="008565EA" w14:paraId="70DDD683" w14:textId="77777777" w:rsidTr="00CC57B7">
        <w:trPr>
          <w:trHeight w:val="1455"/>
        </w:trPr>
        <w:tc>
          <w:tcPr>
            <w:tcW w:w="10598" w:type="dxa"/>
            <w:gridSpan w:val="2"/>
            <w:tcBorders>
              <w:bottom w:val="single" w:sz="4" w:space="0" w:color="auto"/>
            </w:tcBorders>
            <w:shd w:val="clear" w:color="auto" w:fill="auto"/>
          </w:tcPr>
          <w:p w14:paraId="6E36AEAC" w14:textId="77777777" w:rsidR="002B2A9D" w:rsidRPr="008565EA" w:rsidRDefault="002B2A9D" w:rsidP="00B83435">
            <w:pPr>
              <w:rPr>
                <w:rFonts w:cstheme="minorHAnsi"/>
              </w:rPr>
            </w:pPr>
          </w:p>
          <w:p w14:paraId="42D7EE4D" w14:textId="2EF516BD" w:rsidR="00806922" w:rsidRPr="008565EA" w:rsidRDefault="008565EA" w:rsidP="003176A3">
            <w:pPr>
              <w:jc w:val="both"/>
              <w:rPr>
                <w:rFonts w:cstheme="minorHAnsi"/>
              </w:rPr>
            </w:pPr>
            <w:r w:rsidRPr="008565EA">
              <w:rPr>
                <w:rFonts w:cstheme="minorHAnsi"/>
              </w:rPr>
              <w:t xml:space="preserve">The Benefit Data provided by DfC has previously been matched to the </w:t>
            </w:r>
            <w:r w:rsidR="003176A3">
              <w:rPr>
                <w:rFonts w:cstheme="minorHAnsi"/>
              </w:rPr>
              <w:t>Census 2011 population</w:t>
            </w:r>
            <w:r w:rsidRPr="008565EA">
              <w:rPr>
                <w:rFonts w:cstheme="minorHAnsi"/>
              </w:rPr>
              <w:t xml:space="preserve"> as part of a previous ADRC</w:t>
            </w:r>
            <w:r w:rsidR="00DC1CCD">
              <w:rPr>
                <w:rFonts w:cstheme="minorHAnsi"/>
              </w:rPr>
              <w:t>-</w:t>
            </w:r>
            <w:r w:rsidRPr="008565EA">
              <w:rPr>
                <w:rFonts w:cstheme="minorHAnsi"/>
              </w:rPr>
              <w:t xml:space="preserve">NI project. This produced a match rate of </w:t>
            </w:r>
            <w:r w:rsidR="003176A3">
              <w:rPr>
                <w:rFonts w:cstheme="minorHAnsi"/>
              </w:rPr>
              <w:t>90.4</w:t>
            </w:r>
            <w:r w:rsidR="003176A3" w:rsidRPr="003E522F">
              <w:rPr>
                <w:rFonts w:cstheme="minorHAnsi"/>
              </w:rPr>
              <w:t>%</w:t>
            </w:r>
            <w:r w:rsidR="003176A3">
              <w:rPr>
                <w:rFonts w:cstheme="minorHAnsi"/>
              </w:rPr>
              <w:t xml:space="preserve"> </w:t>
            </w:r>
            <w:r w:rsidR="00641E34">
              <w:rPr>
                <w:rFonts w:cstheme="minorHAnsi"/>
              </w:rPr>
              <w:t xml:space="preserve">for 2010, </w:t>
            </w:r>
            <w:r w:rsidR="003176A3">
              <w:rPr>
                <w:rFonts w:cstheme="minorHAnsi"/>
              </w:rPr>
              <w:t>92.5</w:t>
            </w:r>
            <w:r w:rsidR="00641E34">
              <w:rPr>
                <w:rFonts w:cstheme="minorHAnsi"/>
              </w:rPr>
              <w:t xml:space="preserve">% for 2011 and </w:t>
            </w:r>
            <w:r w:rsidR="003176A3">
              <w:rPr>
                <w:rFonts w:cstheme="minorHAnsi"/>
              </w:rPr>
              <w:t>92.3</w:t>
            </w:r>
            <w:r w:rsidR="00641E34">
              <w:rPr>
                <w:rFonts w:cstheme="minorHAnsi"/>
              </w:rPr>
              <w:t>% for 2012</w:t>
            </w:r>
            <w:r w:rsidRPr="008565EA">
              <w:rPr>
                <w:rFonts w:cstheme="minorHAnsi"/>
              </w:rPr>
              <w:t xml:space="preserve">. </w:t>
            </w:r>
          </w:p>
        </w:tc>
      </w:tr>
      <w:tr w:rsidR="008565EA" w:rsidRPr="008565EA" w14:paraId="5BE8EE25" w14:textId="77777777" w:rsidTr="004F1B13">
        <w:tc>
          <w:tcPr>
            <w:tcW w:w="10598" w:type="dxa"/>
            <w:gridSpan w:val="2"/>
            <w:tcBorders>
              <w:bottom w:val="single" w:sz="4" w:space="0" w:color="auto"/>
            </w:tcBorders>
            <w:shd w:val="clear" w:color="auto" w:fill="B8CCE4" w:themeFill="accent1" w:themeFillTint="66"/>
          </w:tcPr>
          <w:p w14:paraId="097B57EE" w14:textId="77777777" w:rsidR="0089169C" w:rsidRPr="008565EA" w:rsidRDefault="00FF40E5" w:rsidP="00FF40E5">
            <w:pPr>
              <w:rPr>
                <w:rFonts w:cstheme="minorHAnsi"/>
                <w:b/>
              </w:rPr>
            </w:pPr>
            <w:r w:rsidRPr="008565EA">
              <w:rPr>
                <w:rFonts w:cstheme="minorHAnsi"/>
                <w:b/>
              </w:rPr>
              <w:t>EVALUATION</w:t>
            </w:r>
          </w:p>
        </w:tc>
      </w:tr>
      <w:tr w:rsidR="00E24874" w:rsidRPr="008565EA" w14:paraId="4136F580" w14:textId="77777777" w:rsidTr="00A2425C">
        <w:trPr>
          <w:trHeight w:val="972"/>
        </w:trPr>
        <w:tc>
          <w:tcPr>
            <w:tcW w:w="10598" w:type="dxa"/>
            <w:gridSpan w:val="2"/>
          </w:tcPr>
          <w:p w14:paraId="1204F37C" w14:textId="77777777" w:rsidR="00D51D6D" w:rsidRPr="008565EA" w:rsidRDefault="00D51D6D" w:rsidP="00DD0704">
            <w:pPr>
              <w:rPr>
                <w:rFonts w:cstheme="minorHAnsi"/>
              </w:rPr>
            </w:pPr>
          </w:p>
          <w:p w14:paraId="62FDA10E" w14:textId="77777777" w:rsidR="00870878" w:rsidRPr="008565EA" w:rsidRDefault="00870878" w:rsidP="00870878">
            <w:pPr>
              <w:rPr>
                <w:rFonts w:cstheme="minorHAnsi"/>
              </w:rPr>
            </w:pPr>
            <w:r w:rsidRPr="008565EA">
              <w:rPr>
                <w:rFonts w:cstheme="minorHAnsi"/>
              </w:rPr>
              <w:t xml:space="preserve">The </w:t>
            </w:r>
            <w:r w:rsidR="00A81952" w:rsidRPr="008565EA">
              <w:rPr>
                <w:rFonts w:cstheme="minorHAnsi"/>
              </w:rPr>
              <w:t>benefit</w:t>
            </w:r>
            <w:r w:rsidRPr="008565EA">
              <w:rPr>
                <w:rFonts w:cstheme="minorHAnsi"/>
              </w:rPr>
              <w:t xml:space="preserve"> data provided by Department of Communities is of good quality and can</w:t>
            </w:r>
            <w:r w:rsidR="008565EA" w:rsidRPr="008565EA">
              <w:rPr>
                <w:rFonts w:cstheme="minorHAnsi"/>
              </w:rPr>
              <w:t xml:space="preserve"> be used for record linkage with</w:t>
            </w:r>
            <w:r w:rsidRPr="008565EA">
              <w:rPr>
                <w:rFonts w:cstheme="minorHAnsi"/>
              </w:rPr>
              <w:t xml:space="preserve"> </w:t>
            </w:r>
            <w:r w:rsidR="008565EA" w:rsidRPr="008565EA">
              <w:rPr>
                <w:rFonts w:cstheme="minorHAnsi"/>
              </w:rPr>
              <w:t>some</w:t>
            </w:r>
            <w:r w:rsidRPr="008565EA">
              <w:rPr>
                <w:rFonts w:cstheme="minorHAnsi"/>
              </w:rPr>
              <w:t xml:space="preserve"> pre-processing. </w:t>
            </w:r>
          </w:p>
          <w:p w14:paraId="37187B17" w14:textId="77777777" w:rsidR="00817119" w:rsidRPr="008565EA" w:rsidRDefault="00817119" w:rsidP="00806922">
            <w:pPr>
              <w:rPr>
                <w:rFonts w:cstheme="minorHAnsi"/>
              </w:rPr>
            </w:pPr>
          </w:p>
        </w:tc>
      </w:tr>
    </w:tbl>
    <w:p w14:paraId="747508A9" w14:textId="77777777" w:rsidR="00A62BCA" w:rsidRDefault="00A62BCA"/>
    <w:p w14:paraId="2AE5AF6F" w14:textId="77777777" w:rsidR="00182696" w:rsidRDefault="00182696"/>
    <w:p w14:paraId="48880B57" w14:textId="77777777" w:rsidR="00182696" w:rsidRDefault="00182696"/>
    <w:p w14:paraId="2627F687" w14:textId="77777777" w:rsidR="00182696" w:rsidRPr="008565EA" w:rsidRDefault="00182696"/>
    <w:p w14:paraId="48DA4171" w14:textId="77777777" w:rsidR="008B2C73" w:rsidRPr="008565EA" w:rsidRDefault="00FF40E5" w:rsidP="0096108D">
      <w:pPr>
        <w:rPr>
          <w:rFonts w:cstheme="minorHAnsi"/>
          <w:sz w:val="20"/>
          <w:szCs w:val="20"/>
        </w:rPr>
      </w:pPr>
      <w:r w:rsidRPr="008565EA">
        <w:rPr>
          <w:rFonts w:cstheme="minorHAnsi"/>
          <w:sz w:val="20"/>
          <w:szCs w:val="20"/>
        </w:rPr>
        <w:t>Do</w:t>
      </w:r>
      <w:r w:rsidR="00346837" w:rsidRPr="008565EA">
        <w:rPr>
          <w:rFonts w:cstheme="minorHAnsi"/>
          <w:sz w:val="20"/>
          <w:szCs w:val="20"/>
        </w:rPr>
        <w:t xml:space="preserve">cument Management </w:t>
      </w:r>
      <w:r w:rsidR="00346837" w:rsidRPr="008565EA">
        <w:rPr>
          <w:rFonts w:cstheme="minorHAnsi"/>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firstRow="1" w:lastRow="1" w:firstColumn="1" w:lastColumn="1" w:noHBand="0" w:noVBand="0"/>
      </w:tblPr>
      <w:tblGrid>
        <w:gridCol w:w="3612"/>
        <w:gridCol w:w="6844"/>
      </w:tblGrid>
      <w:tr w:rsidR="008565EA" w:rsidRPr="008565EA" w14:paraId="7BA1C74B" w14:textId="77777777" w:rsidTr="003D660D">
        <w:tc>
          <w:tcPr>
            <w:tcW w:w="1727" w:type="pct"/>
            <w:shd w:val="clear" w:color="auto" w:fill="auto"/>
            <w:vAlign w:val="center"/>
          </w:tcPr>
          <w:p w14:paraId="780D643D" w14:textId="77777777" w:rsidR="008B2C73" w:rsidRPr="008565EA" w:rsidRDefault="00346837"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Access Limitations:</w:t>
            </w:r>
          </w:p>
        </w:tc>
        <w:tc>
          <w:tcPr>
            <w:tcW w:w="3273" w:type="pct"/>
            <w:shd w:val="clear" w:color="auto" w:fill="auto"/>
            <w:vAlign w:val="center"/>
          </w:tcPr>
          <w:p w14:paraId="34CB7059" w14:textId="77777777" w:rsidR="008B2C73" w:rsidRPr="008565EA" w:rsidRDefault="0040165C"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ADRC TTP</w:t>
            </w:r>
            <w:r w:rsidR="005712E8" w:rsidRPr="008565EA">
              <w:rPr>
                <w:rFonts w:asciiTheme="minorHAnsi" w:hAnsiTheme="minorHAnsi" w:cstheme="minorHAnsi"/>
                <w:szCs w:val="20"/>
              </w:rPr>
              <w:t>, RSU, Data Suppliers, Researchers</w:t>
            </w:r>
          </w:p>
        </w:tc>
      </w:tr>
      <w:tr w:rsidR="008565EA" w:rsidRPr="008565EA" w14:paraId="44CAB8E2" w14:textId="77777777" w:rsidTr="003D660D">
        <w:tc>
          <w:tcPr>
            <w:tcW w:w="1727" w:type="pct"/>
            <w:shd w:val="clear" w:color="auto" w:fill="auto"/>
            <w:vAlign w:val="center"/>
          </w:tcPr>
          <w:p w14:paraId="08677499" w14:textId="77777777" w:rsidR="008B2C73" w:rsidRPr="008565EA" w:rsidRDefault="00346837"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Maintainer:</w:t>
            </w:r>
          </w:p>
        </w:tc>
        <w:tc>
          <w:tcPr>
            <w:tcW w:w="3273" w:type="pct"/>
            <w:shd w:val="clear" w:color="auto" w:fill="auto"/>
            <w:vAlign w:val="center"/>
          </w:tcPr>
          <w:p w14:paraId="03F0B7E0" w14:textId="77777777" w:rsidR="008B2C73" w:rsidRPr="008565EA" w:rsidRDefault="002D7301" w:rsidP="002D7301">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Conleth McVeigh</w:t>
            </w:r>
          </w:p>
        </w:tc>
      </w:tr>
      <w:tr w:rsidR="008565EA" w:rsidRPr="008565EA" w14:paraId="39FA2800" w14:textId="77777777" w:rsidTr="003D660D">
        <w:tc>
          <w:tcPr>
            <w:tcW w:w="1727" w:type="pct"/>
            <w:shd w:val="clear" w:color="auto" w:fill="auto"/>
            <w:vAlign w:val="center"/>
          </w:tcPr>
          <w:p w14:paraId="30238BE5" w14:textId="77777777" w:rsidR="008B2C73" w:rsidRPr="008565EA" w:rsidRDefault="00346837"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Document Identifier:</w:t>
            </w:r>
          </w:p>
        </w:tc>
        <w:tc>
          <w:tcPr>
            <w:tcW w:w="3273" w:type="pct"/>
            <w:shd w:val="clear" w:color="auto" w:fill="auto"/>
            <w:vAlign w:val="center"/>
          </w:tcPr>
          <w:p w14:paraId="5EBAA934" w14:textId="77777777" w:rsidR="008B2C73" w:rsidRPr="008565EA" w:rsidRDefault="005712E8"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ADRCNI</w:t>
            </w:r>
          </w:p>
        </w:tc>
      </w:tr>
      <w:tr w:rsidR="008565EA" w:rsidRPr="008565EA" w14:paraId="4D39162B" w14:textId="77777777" w:rsidTr="003D660D">
        <w:tc>
          <w:tcPr>
            <w:tcW w:w="1727" w:type="pct"/>
            <w:shd w:val="clear" w:color="auto" w:fill="auto"/>
            <w:vAlign w:val="center"/>
          </w:tcPr>
          <w:p w14:paraId="4CDD685B" w14:textId="77777777" w:rsidR="008B2C73" w:rsidRPr="008565EA" w:rsidRDefault="00346837"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Replaces:</w:t>
            </w:r>
          </w:p>
        </w:tc>
        <w:tc>
          <w:tcPr>
            <w:tcW w:w="3273" w:type="pct"/>
            <w:shd w:val="clear" w:color="auto" w:fill="auto"/>
            <w:vAlign w:val="center"/>
          </w:tcPr>
          <w:p w14:paraId="64F95B86" w14:textId="77777777" w:rsidR="008B2C73" w:rsidRPr="008565EA" w:rsidRDefault="008B2C73" w:rsidP="003D660D">
            <w:pPr>
              <w:pStyle w:val="BodyText"/>
              <w:spacing w:line="276" w:lineRule="auto"/>
              <w:jc w:val="both"/>
              <w:rPr>
                <w:rFonts w:asciiTheme="minorHAnsi" w:hAnsiTheme="minorHAnsi" w:cstheme="minorHAnsi"/>
                <w:szCs w:val="20"/>
              </w:rPr>
            </w:pPr>
          </w:p>
        </w:tc>
      </w:tr>
      <w:tr w:rsidR="008565EA" w:rsidRPr="008565EA" w14:paraId="4C0C29E8" w14:textId="77777777" w:rsidTr="003D660D">
        <w:tc>
          <w:tcPr>
            <w:tcW w:w="1727" w:type="pct"/>
            <w:shd w:val="clear" w:color="auto" w:fill="auto"/>
            <w:vAlign w:val="center"/>
          </w:tcPr>
          <w:p w14:paraId="22145E71" w14:textId="77777777" w:rsidR="008B2C73" w:rsidRPr="008565EA" w:rsidRDefault="00346837"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Review period (months):</w:t>
            </w:r>
          </w:p>
        </w:tc>
        <w:tc>
          <w:tcPr>
            <w:tcW w:w="3273" w:type="pct"/>
            <w:shd w:val="clear" w:color="auto" w:fill="auto"/>
            <w:vAlign w:val="center"/>
          </w:tcPr>
          <w:p w14:paraId="0277E155" w14:textId="77777777" w:rsidR="008B2C73" w:rsidRPr="008565EA" w:rsidRDefault="005712E8"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N/A</w:t>
            </w:r>
          </w:p>
        </w:tc>
      </w:tr>
      <w:tr w:rsidR="008565EA" w:rsidRPr="008565EA" w14:paraId="67964558" w14:textId="77777777" w:rsidTr="003D660D">
        <w:tc>
          <w:tcPr>
            <w:tcW w:w="1727" w:type="pct"/>
            <w:shd w:val="clear" w:color="auto" w:fill="auto"/>
          </w:tcPr>
          <w:p w14:paraId="09B093AF" w14:textId="77777777" w:rsidR="008B2C73" w:rsidRPr="008565EA" w:rsidRDefault="00346837" w:rsidP="003D660D">
            <w:pPr>
              <w:pStyle w:val="BodyText"/>
              <w:spacing w:line="276" w:lineRule="auto"/>
              <w:rPr>
                <w:rFonts w:asciiTheme="minorHAnsi" w:hAnsiTheme="minorHAnsi" w:cstheme="minorHAnsi"/>
                <w:szCs w:val="20"/>
              </w:rPr>
            </w:pPr>
            <w:r w:rsidRPr="008565EA">
              <w:rPr>
                <w:rFonts w:asciiTheme="minorHAnsi" w:hAnsiTheme="minorHAnsi" w:cstheme="minorHAnsi"/>
                <w:szCs w:val="20"/>
              </w:rPr>
              <w:t>Is related to:</w:t>
            </w:r>
          </w:p>
        </w:tc>
        <w:tc>
          <w:tcPr>
            <w:tcW w:w="3273" w:type="pct"/>
            <w:shd w:val="clear" w:color="auto" w:fill="auto"/>
            <w:vAlign w:val="center"/>
          </w:tcPr>
          <w:p w14:paraId="561E685B" w14:textId="77777777" w:rsidR="008B2C73" w:rsidRPr="008565EA" w:rsidRDefault="005712E8" w:rsidP="003D660D">
            <w:pPr>
              <w:pStyle w:val="BodyText"/>
              <w:spacing w:line="276" w:lineRule="auto"/>
              <w:jc w:val="both"/>
              <w:rPr>
                <w:rFonts w:asciiTheme="minorHAnsi" w:hAnsiTheme="minorHAnsi" w:cstheme="minorHAnsi"/>
                <w:szCs w:val="20"/>
              </w:rPr>
            </w:pPr>
            <w:r w:rsidRPr="008565EA">
              <w:rPr>
                <w:rFonts w:asciiTheme="minorHAnsi" w:hAnsiTheme="minorHAnsi" w:cstheme="minorHAnsi"/>
                <w:szCs w:val="20"/>
              </w:rPr>
              <w:t>N/A</w:t>
            </w:r>
          </w:p>
        </w:tc>
      </w:tr>
    </w:tbl>
    <w:p w14:paraId="0AEF3C74" w14:textId="77777777" w:rsidR="008B2C73" w:rsidRPr="008565EA" w:rsidRDefault="00346837" w:rsidP="006E1F0D">
      <w:pPr>
        <w:pStyle w:val="Heading"/>
        <w:spacing w:line="276" w:lineRule="auto"/>
        <w:jc w:val="both"/>
        <w:rPr>
          <w:rFonts w:asciiTheme="minorHAnsi" w:hAnsiTheme="minorHAnsi" w:cstheme="minorHAnsi"/>
          <w:sz w:val="20"/>
          <w:szCs w:val="20"/>
        </w:rPr>
      </w:pPr>
      <w:r w:rsidRPr="008565EA">
        <w:rPr>
          <w:rFonts w:asciiTheme="minorHAnsi" w:hAnsiTheme="minorHAnsi" w:cstheme="minorHAnsi"/>
          <w:sz w:val="20"/>
          <w:szCs w:val="20"/>
        </w:rPr>
        <w:t>Version History</w:t>
      </w:r>
    </w:p>
    <w:p w14:paraId="16EEEECE" w14:textId="77777777" w:rsidR="006E1F0D" w:rsidRPr="008565EA" w:rsidRDefault="006E1F0D" w:rsidP="006E1F0D">
      <w:pPr>
        <w:pStyle w:val="BodyText"/>
        <w:rPr>
          <w:rFonts w:asciiTheme="minorHAnsi" w:hAnsiTheme="minorHAnsi" w:cstheme="minorHAnsi"/>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firstRow="0" w:lastRow="0" w:firstColumn="0" w:lastColumn="0" w:noHBand="0" w:noVBand="0"/>
      </w:tblPr>
      <w:tblGrid>
        <w:gridCol w:w="1008"/>
        <w:gridCol w:w="7804"/>
        <w:gridCol w:w="1644"/>
      </w:tblGrid>
      <w:tr w:rsidR="008565EA" w:rsidRPr="008565EA" w14:paraId="577523A2" w14:textId="77777777" w:rsidTr="003D660D">
        <w:tc>
          <w:tcPr>
            <w:tcW w:w="482" w:type="pct"/>
          </w:tcPr>
          <w:p w14:paraId="674C254F" w14:textId="77777777" w:rsidR="008B2C73" w:rsidRPr="008565EA" w:rsidRDefault="00346837" w:rsidP="003D660D">
            <w:pPr>
              <w:pStyle w:val="zDocMetaBold"/>
              <w:spacing w:line="276" w:lineRule="auto"/>
              <w:jc w:val="both"/>
              <w:rPr>
                <w:rFonts w:asciiTheme="minorHAnsi" w:hAnsiTheme="minorHAnsi" w:cstheme="minorHAnsi"/>
                <w:sz w:val="20"/>
                <w:szCs w:val="20"/>
              </w:rPr>
            </w:pPr>
            <w:r w:rsidRPr="008565EA">
              <w:rPr>
                <w:rFonts w:asciiTheme="minorHAnsi" w:hAnsiTheme="minorHAnsi" w:cstheme="minorHAnsi"/>
                <w:sz w:val="20"/>
                <w:szCs w:val="20"/>
              </w:rPr>
              <w:t>Version</w:t>
            </w:r>
          </w:p>
        </w:tc>
        <w:tc>
          <w:tcPr>
            <w:tcW w:w="3732" w:type="pct"/>
          </w:tcPr>
          <w:p w14:paraId="6F4024AF" w14:textId="77777777" w:rsidR="008B2C73" w:rsidRPr="008565EA" w:rsidRDefault="00346837" w:rsidP="003D660D">
            <w:pPr>
              <w:pStyle w:val="zDocMetaBold"/>
              <w:spacing w:line="276" w:lineRule="auto"/>
              <w:jc w:val="both"/>
              <w:rPr>
                <w:rFonts w:asciiTheme="minorHAnsi" w:hAnsiTheme="minorHAnsi" w:cstheme="minorHAnsi"/>
                <w:sz w:val="20"/>
                <w:szCs w:val="20"/>
              </w:rPr>
            </w:pPr>
            <w:r w:rsidRPr="008565EA">
              <w:rPr>
                <w:rFonts w:asciiTheme="minorHAnsi" w:hAnsiTheme="minorHAnsi" w:cstheme="minorHAnsi"/>
                <w:sz w:val="20"/>
                <w:szCs w:val="20"/>
              </w:rPr>
              <w:t>Notes</w:t>
            </w:r>
          </w:p>
        </w:tc>
        <w:tc>
          <w:tcPr>
            <w:tcW w:w="786" w:type="pct"/>
          </w:tcPr>
          <w:p w14:paraId="0ACC3760" w14:textId="77777777" w:rsidR="008B2C73" w:rsidRPr="008565EA" w:rsidRDefault="00346837" w:rsidP="003D660D">
            <w:pPr>
              <w:pStyle w:val="zDocMetaBold"/>
              <w:spacing w:line="276" w:lineRule="auto"/>
              <w:jc w:val="both"/>
              <w:rPr>
                <w:rFonts w:asciiTheme="minorHAnsi" w:hAnsiTheme="minorHAnsi" w:cstheme="minorHAnsi"/>
                <w:sz w:val="20"/>
                <w:szCs w:val="20"/>
              </w:rPr>
            </w:pPr>
            <w:r w:rsidRPr="008565EA">
              <w:rPr>
                <w:rFonts w:asciiTheme="minorHAnsi" w:hAnsiTheme="minorHAnsi" w:cstheme="minorHAnsi"/>
                <w:sz w:val="20"/>
                <w:szCs w:val="20"/>
              </w:rPr>
              <w:t>Last Amended</w:t>
            </w:r>
          </w:p>
        </w:tc>
      </w:tr>
      <w:tr w:rsidR="008565EA" w:rsidRPr="008565EA" w14:paraId="3A6FF536" w14:textId="77777777" w:rsidTr="003D660D">
        <w:tc>
          <w:tcPr>
            <w:tcW w:w="482" w:type="pct"/>
          </w:tcPr>
          <w:p w14:paraId="43E4DBD0" w14:textId="77777777" w:rsidR="008B2C73" w:rsidRPr="008565EA" w:rsidRDefault="009B4C4F" w:rsidP="003D660D">
            <w:pPr>
              <w:pStyle w:val="zDocMetaCentre"/>
              <w:spacing w:line="276" w:lineRule="auto"/>
              <w:jc w:val="both"/>
              <w:rPr>
                <w:rFonts w:asciiTheme="minorHAnsi" w:hAnsiTheme="minorHAnsi" w:cstheme="minorHAnsi"/>
                <w:sz w:val="20"/>
                <w:szCs w:val="20"/>
              </w:rPr>
            </w:pPr>
            <w:r w:rsidRPr="008565EA">
              <w:rPr>
                <w:rFonts w:asciiTheme="minorHAnsi" w:hAnsiTheme="minorHAnsi" w:cstheme="minorHAnsi"/>
                <w:sz w:val="20"/>
                <w:szCs w:val="20"/>
              </w:rPr>
              <w:t>1</w:t>
            </w:r>
            <w:r w:rsidR="00FF40E5" w:rsidRPr="008565EA">
              <w:rPr>
                <w:rFonts w:asciiTheme="minorHAnsi" w:hAnsiTheme="minorHAnsi" w:cstheme="minorHAnsi"/>
                <w:sz w:val="20"/>
                <w:szCs w:val="20"/>
              </w:rPr>
              <w:t>.1</w:t>
            </w:r>
          </w:p>
        </w:tc>
        <w:tc>
          <w:tcPr>
            <w:tcW w:w="3732" w:type="pct"/>
          </w:tcPr>
          <w:p w14:paraId="3DD18BDC" w14:textId="77777777" w:rsidR="008B2C73" w:rsidRPr="008565EA" w:rsidRDefault="00DA07A2" w:rsidP="008565EA">
            <w:pPr>
              <w:pStyle w:val="zDocMeta"/>
              <w:spacing w:line="276" w:lineRule="auto"/>
              <w:jc w:val="both"/>
              <w:rPr>
                <w:rFonts w:asciiTheme="minorHAnsi" w:hAnsiTheme="minorHAnsi" w:cstheme="minorHAnsi"/>
                <w:sz w:val="20"/>
                <w:szCs w:val="20"/>
              </w:rPr>
            </w:pPr>
            <w:r w:rsidRPr="008565EA">
              <w:rPr>
                <w:rFonts w:asciiTheme="minorHAnsi" w:hAnsiTheme="minorHAnsi" w:cstheme="minorHAnsi"/>
                <w:sz w:val="20"/>
                <w:szCs w:val="20"/>
              </w:rPr>
              <w:t xml:space="preserve">Created by </w:t>
            </w:r>
            <w:r w:rsidR="002D7301" w:rsidRPr="008565EA">
              <w:rPr>
                <w:rFonts w:asciiTheme="minorHAnsi" w:hAnsiTheme="minorHAnsi" w:cstheme="minorHAnsi"/>
                <w:sz w:val="20"/>
                <w:szCs w:val="20"/>
              </w:rPr>
              <w:t>ADRC</w:t>
            </w:r>
            <w:r w:rsidR="0040165C" w:rsidRPr="008565EA">
              <w:rPr>
                <w:rFonts w:asciiTheme="minorHAnsi" w:hAnsiTheme="minorHAnsi" w:cstheme="minorHAnsi"/>
                <w:sz w:val="20"/>
                <w:szCs w:val="20"/>
              </w:rPr>
              <w:t xml:space="preserve"> </w:t>
            </w:r>
            <w:r w:rsidR="002D7301" w:rsidRPr="008565EA">
              <w:rPr>
                <w:rFonts w:asciiTheme="minorHAnsi" w:hAnsiTheme="minorHAnsi" w:cstheme="minorHAnsi"/>
                <w:sz w:val="20"/>
                <w:szCs w:val="20"/>
              </w:rPr>
              <w:t>TTP</w:t>
            </w:r>
            <w:r w:rsidRPr="008565EA">
              <w:rPr>
                <w:rFonts w:asciiTheme="minorHAnsi" w:hAnsiTheme="minorHAnsi" w:cstheme="minorHAnsi"/>
                <w:sz w:val="20"/>
                <w:szCs w:val="20"/>
              </w:rPr>
              <w:t xml:space="preserve">, </w:t>
            </w:r>
            <w:r w:rsidR="008565EA" w:rsidRPr="008565EA">
              <w:rPr>
                <w:rFonts w:asciiTheme="minorHAnsi" w:hAnsiTheme="minorHAnsi" w:cstheme="minorHAnsi"/>
                <w:sz w:val="20"/>
                <w:szCs w:val="20"/>
              </w:rPr>
              <w:t>01/08</w:t>
            </w:r>
            <w:r w:rsidR="002D7301" w:rsidRPr="008565EA">
              <w:rPr>
                <w:rFonts w:asciiTheme="minorHAnsi" w:hAnsiTheme="minorHAnsi" w:cstheme="minorHAnsi"/>
                <w:sz w:val="20"/>
                <w:szCs w:val="20"/>
              </w:rPr>
              <w:t>/2017</w:t>
            </w:r>
          </w:p>
        </w:tc>
        <w:tc>
          <w:tcPr>
            <w:tcW w:w="786" w:type="pct"/>
          </w:tcPr>
          <w:p w14:paraId="2AEF53D6" w14:textId="77777777" w:rsidR="008B2C73" w:rsidRPr="008565EA" w:rsidRDefault="008B2C73" w:rsidP="005712E8">
            <w:pPr>
              <w:pStyle w:val="zDocMetaCentre"/>
              <w:spacing w:line="276" w:lineRule="auto"/>
              <w:jc w:val="both"/>
              <w:rPr>
                <w:rFonts w:asciiTheme="minorHAnsi" w:hAnsiTheme="minorHAnsi" w:cstheme="minorHAnsi"/>
                <w:sz w:val="20"/>
                <w:szCs w:val="20"/>
              </w:rPr>
            </w:pPr>
          </w:p>
        </w:tc>
      </w:tr>
    </w:tbl>
    <w:p w14:paraId="741EE27E" w14:textId="77777777" w:rsidR="008B2C73" w:rsidRPr="008565EA" w:rsidRDefault="008B2C73" w:rsidP="009E6302">
      <w:pPr>
        <w:rPr>
          <w:rFonts w:cstheme="minorHAnsi"/>
          <w:sz w:val="20"/>
          <w:szCs w:val="20"/>
        </w:rPr>
      </w:pPr>
    </w:p>
    <w:p w14:paraId="5FE3FFB8" w14:textId="77777777" w:rsidR="00AD405C" w:rsidRPr="008565EA" w:rsidRDefault="00AD405C">
      <w:pPr>
        <w:rPr>
          <w:rFonts w:cstheme="minorHAnsi"/>
          <w:sz w:val="20"/>
          <w:szCs w:val="20"/>
        </w:rPr>
      </w:pPr>
      <w:bookmarkStart w:id="0" w:name="_GoBack"/>
      <w:bookmarkEnd w:id="0"/>
    </w:p>
    <w:sectPr w:rsidR="00AD405C" w:rsidRPr="008565EA" w:rsidSect="00A72367">
      <w:headerReference w:type="default" r:id="rId9"/>
      <w:footerReference w:type="default" r:id="rId10"/>
      <w:pgSz w:w="11906" w:h="16838"/>
      <w:pgMar w:top="1418" w:right="720" w:bottom="720" w:left="72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8491B" w14:textId="77777777" w:rsidR="00621681" w:rsidRDefault="00621681" w:rsidP="00662D18">
      <w:pPr>
        <w:spacing w:after="0" w:line="240" w:lineRule="auto"/>
      </w:pPr>
      <w:r>
        <w:separator/>
      </w:r>
    </w:p>
  </w:endnote>
  <w:endnote w:type="continuationSeparator" w:id="0">
    <w:p w14:paraId="677230DF" w14:textId="77777777" w:rsidR="00621681" w:rsidRDefault="00621681" w:rsidP="0066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67446"/>
      <w:docPartObj>
        <w:docPartGallery w:val="Page Numbers (Bottom of Page)"/>
        <w:docPartUnique/>
      </w:docPartObj>
    </w:sdtPr>
    <w:sdtEndPr>
      <w:rPr>
        <w:color w:val="7F7F7F" w:themeColor="background1" w:themeShade="7F"/>
        <w:spacing w:val="60"/>
      </w:rPr>
    </w:sdtEndPr>
    <w:sdtContent>
      <w:p w14:paraId="59E782AF" w14:textId="77777777" w:rsidR="0014411B" w:rsidRDefault="00D26F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1CCD">
          <w:rPr>
            <w:noProof/>
          </w:rPr>
          <w:t>2</w:t>
        </w:r>
        <w:r>
          <w:rPr>
            <w:noProof/>
          </w:rPr>
          <w:fldChar w:fldCharType="end"/>
        </w:r>
        <w:r w:rsidR="0014411B">
          <w:t xml:space="preserve"> | </w:t>
        </w:r>
        <w:r w:rsidR="0014411B">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FB08D" w14:textId="77777777" w:rsidR="00621681" w:rsidRDefault="00621681" w:rsidP="00662D18">
      <w:pPr>
        <w:spacing w:after="0" w:line="240" w:lineRule="auto"/>
      </w:pPr>
      <w:r>
        <w:separator/>
      </w:r>
    </w:p>
  </w:footnote>
  <w:footnote w:type="continuationSeparator" w:id="0">
    <w:p w14:paraId="4E14458F" w14:textId="77777777" w:rsidR="00621681" w:rsidRDefault="00621681" w:rsidP="00662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E7D3A" w14:textId="77777777" w:rsidR="0014411B" w:rsidRDefault="0014411B" w:rsidP="00662D18">
    <w:pPr>
      <w:pStyle w:val="Header"/>
      <w:tabs>
        <w:tab w:val="left" w:pos="3900"/>
      </w:tabs>
    </w:pPr>
    <w:r>
      <w:rPr>
        <w:noProof/>
        <w:lang w:eastAsia="en-GB"/>
      </w:rPr>
      <w:drawing>
        <wp:anchor distT="0" distB="0" distL="114300" distR="114300" simplePos="0" relativeHeight="251661312" behindDoc="1" locked="0" layoutInCell="1" allowOverlap="1" wp14:anchorId="2C07F41D" wp14:editId="482CCF8E">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14:anchorId="7A235E50" wp14:editId="39E61A33">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6F0"/>
    <w:multiLevelType w:val="hybridMultilevel"/>
    <w:tmpl w:val="40CE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6282A"/>
    <w:multiLevelType w:val="hybridMultilevel"/>
    <w:tmpl w:val="1EB460BE"/>
    <w:lvl w:ilvl="0" w:tplc="0D1ADB9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92BBC"/>
    <w:multiLevelType w:val="hybridMultilevel"/>
    <w:tmpl w:val="57F2382A"/>
    <w:lvl w:ilvl="0" w:tplc="DC9CDD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01C41"/>
    <w:multiLevelType w:val="hybridMultilevel"/>
    <w:tmpl w:val="62C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3E55C0"/>
    <w:multiLevelType w:val="hybridMultilevel"/>
    <w:tmpl w:val="029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2" w15:restartNumberingAfterBreak="0">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4" w15:restartNumberingAfterBreak="0">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572256"/>
    <w:multiLevelType w:val="multilevel"/>
    <w:tmpl w:val="CA66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7"/>
  </w:num>
  <w:num w:numId="3">
    <w:abstractNumId w:val="42"/>
  </w:num>
  <w:num w:numId="4">
    <w:abstractNumId w:val="34"/>
  </w:num>
  <w:num w:numId="5">
    <w:abstractNumId w:val="38"/>
  </w:num>
  <w:num w:numId="6">
    <w:abstractNumId w:val="21"/>
  </w:num>
  <w:num w:numId="7">
    <w:abstractNumId w:val="16"/>
  </w:num>
  <w:num w:numId="8">
    <w:abstractNumId w:val="17"/>
  </w:num>
  <w:num w:numId="9">
    <w:abstractNumId w:val="23"/>
  </w:num>
  <w:num w:numId="10">
    <w:abstractNumId w:val="1"/>
  </w:num>
  <w:num w:numId="11">
    <w:abstractNumId w:val="33"/>
  </w:num>
  <w:num w:numId="12">
    <w:abstractNumId w:val="8"/>
  </w:num>
  <w:num w:numId="13">
    <w:abstractNumId w:val="5"/>
  </w:num>
  <w:num w:numId="14">
    <w:abstractNumId w:val="26"/>
  </w:num>
  <w:num w:numId="15">
    <w:abstractNumId w:val="39"/>
  </w:num>
  <w:num w:numId="16">
    <w:abstractNumId w:val="24"/>
  </w:num>
  <w:num w:numId="17">
    <w:abstractNumId w:val="13"/>
  </w:num>
  <w:num w:numId="18">
    <w:abstractNumId w:val="7"/>
  </w:num>
  <w:num w:numId="19">
    <w:abstractNumId w:val="19"/>
  </w:num>
  <w:num w:numId="20">
    <w:abstractNumId w:val="15"/>
  </w:num>
  <w:num w:numId="21">
    <w:abstractNumId w:val="41"/>
  </w:num>
  <w:num w:numId="22">
    <w:abstractNumId w:val="35"/>
  </w:num>
  <w:num w:numId="23">
    <w:abstractNumId w:val="3"/>
  </w:num>
  <w:num w:numId="24">
    <w:abstractNumId w:val="36"/>
  </w:num>
  <w:num w:numId="25">
    <w:abstractNumId w:val="10"/>
  </w:num>
  <w:num w:numId="26">
    <w:abstractNumId w:val="29"/>
  </w:num>
  <w:num w:numId="27">
    <w:abstractNumId w:val="12"/>
  </w:num>
  <w:num w:numId="28">
    <w:abstractNumId w:val="9"/>
  </w:num>
  <w:num w:numId="29">
    <w:abstractNumId w:val="32"/>
  </w:num>
  <w:num w:numId="30">
    <w:abstractNumId w:val="25"/>
  </w:num>
  <w:num w:numId="31">
    <w:abstractNumId w:val="20"/>
  </w:num>
  <w:num w:numId="32">
    <w:abstractNumId w:val="31"/>
  </w:num>
  <w:num w:numId="33">
    <w:abstractNumId w:val="6"/>
  </w:num>
  <w:num w:numId="34">
    <w:abstractNumId w:val="22"/>
  </w:num>
  <w:num w:numId="35">
    <w:abstractNumId w:val="43"/>
  </w:num>
  <w:num w:numId="36">
    <w:abstractNumId w:val="2"/>
  </w:num>
  <w:num w:numId="37">
    <w:abstractNumId w:val="18"/>
  </w:num>
  <w:num w:numId="38">
    <w:abstractNumId w:val="37"/>
  </w:num>
  <w:num w:numId="39">
    <w:abstractNumId w:val="0"/>
  </w:num>
  <w:num w:numId="40">
    <w:abstractNumId w:val="40"/>
  </w:num>
  <w:num w:numId="41">
    <w:abstractNumId w:val="28"/>
  </w:num>
  <w:num w:numId="42">
    <w:abstractNumId w:val="4"/>
  </w:num>
  <w:num w:numId="43">
    <w:abstractNumId w:val="3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drawingGridHorizontalSpacing w:val="110"/>
  <w:displayHorizontalDrawingGridEvery w:val="2"/>
  <w:characterSpacingControl w:val="doNotCompress"/>
  <w:hdrShapeDefaults>
    <o:shapedefaults v:ext="edit" spidmax="4097">
      <o:colormru v:ext="edit" colors="#ffff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18"/>
    <w:rsid w:val="00011392"/>
    <w:rsid w:val="0003392E"/>
    <w:rsid w:val="000351B9"/>
    <w:rsid w:val="000362C6"/>
    <w:rsid w:val="0004784F"/>
    <w:rsid w:val="00052ACF"/>
    <w:rsid w:val="00056DF6"/>
    <w:rsid w:val="000613B9"/>
    <w:rsid w:val="00061612"/>
    <w:rsid w:val="00064C67"/>
    <w:rsid w:val="000712CC"/>
    <w:rsid w:val="00074C8B"/>
    <w:rsid w:val="00077836"/>
    <w:rsid w:val="0008180B"/>
    <w:rsid w:val="00086518"/>
    <w:rsid w:val="0008676C"/>
    <w:rsid w:val="00091147"/>
    <w:rsid w:val="000935C4"/>
    <w:rsid w:val="00096400"/>
    <w:rsid w:val="00096C01"/>
    <w:rsid w:val="000A04DE"/>
    <w:rsid w:val="000A6F31"/>
    <w:rsid w:val="000B2FDE"/>
    <w:rsid w:val="000C1268"/>
    <w:rsid w:val="000C169D"/>
    <w:rsid w:val="000C395F"/>
    <w:rsid w:val="000C65B6"/>
    <w:rsid w:val="000C6C86"/>
    <w:rsid w:val="000C7F30"/>
    <w:rsid w:val="000D031A"/>
    <w:rsid w:val="000D5E2D"/>
    <w:rsid w:val="000E511C"/>
    <w:rsid w:val="000F6C31"/>
    <w:rsid w:val="00103DFF"/>
    <w:rsid w:val="00111C86"/>
    <w:rsid w:val="00114B35"/>
    <w:rsid w:val="001173F3"/>
    <w:rsid w:val="00120280"/>
    <w:rsid w:val="001247B7"/>
    <w:rsid w:val="00127C97"/>
    <w:rsid w:val="001321D7"/>
    <w:rsid w:val="001349BA"/>
    <w:rsid w:val="00134D73"/>
    <w:rsid w:val="00135E89"/>
    <w:rsid w:val="0014318B"/>
    <w:rsid w:val="0014411B"/>
    <w:rsid w:val="00144A3C"/>
    <w:rsid w:val="001451A0"/>
    <w:rsid w:val="00147BAD"/>
    <w:rsid w:val="00147CB3"/>
    <w:rsid w:val="0015686E"/>
    <w:rsid w:val="0015759A"/>
    <w:rsid w:val="00173273"/>
    <w:rsid w:val="001744B9"/>
    <w:rsid w:val="00174FEB"/>
    <w:rsid w:val="00181388"/>
    <w:rsid w:val="00182696"/>
    <w:rsid w:val="00187895"/>
    <w:rsid w:val="00191A57"/>
    <w:rsid w:val="00192B39"/>
    <w:rsid w:val="001941F5"/>
    <w:rsid w:val="001A10D7"/>
    <w:rsid w:val="001A3CA3"/>
    <w:rsid w:val="001B0887"/>
    <w:rsid w:val="001B2EE7"/>
    <w:rsid w:val="001B328C"/>
    <w:rsid w:val="001C42BC"/>
    <w:rsid w:val="001C64C5"/>
    <w:rsid w:val="001D0544"/>
    <w:rsid w:val="001D20F0"/>
    <w:rsid w:val="001E0AF9"/>
    <w:rsid w:val="001E24A7"/>
    <w:rsid w:val="001E4124"/>
    <w:rsid w:val="001E5AB4"/>
    <w:rsid w:val="001E5AD9"/>
    <w:rsid w:val="001E6773"/>
    <w:rsid w:val="00204A37"/>
    <w:rsid w:val="00207A39"/>
    <w:rsid w:val="00210D48"/>
    <w:rsid w:val="002121AC"/>
    <w:rsid w:val="002134C1"/>
    <w:rsid w:val="00213E2B"/>
    <w:rsid w:val="002171F6"/>
    <w:rsid w:val="00222F40"/>
    <w:rsid w:val="00226CE8"/>
    <w:rsid w:val="00235974"/>
    <w:rsid w:val="002369E8"/>
    <w:rsid w:val="00236F54"/>
    <w:rsid w:val="002370D7"/>
    <w:rsid w:val="0025030D"/>
    <w:rsid w:val="00254F66"/>
    <w:rsid w:val="00255207"/>
    <w:rsid w:val="002631A3"/>
    <w:rsid w:val="00271454"/>
    <w:rsid w:val="002743C6"/>
    <w:rsid w:val="00281D1F"/>
    <w:rsid w:val="00281F7E"/>
    <w:rsid w:val="00286FAD"/>
    <w:rsid w:val="00291592"/>
    <w:rsid w:val="00291B7E"/>
    <w:rsid w:val="002932B6"/>
    <w:rsid w:val="00294D80"/>
    <w:rsid w:val="00295B2B"/>
    <w:rsid w:val="002A09C7"/>
    <w:rsid w:val="002A0CAF"/>
    <w:rsid w:val="002B2A9D"/>
    <w:rsid w:val="002B798B"/>
    <w:rsid w:val="002C1E73"/>
    <w:rsid w:val="002C2D54"/>
    <w:rsid w:val="002C3B37"/>
    <w:rsid w:val="002D01FB"/>
    <w:rsid w:val="002D0DAF"/>
    <w:rsid w:val="002D3C31"/>
    <w:rsid w:val="002D5FCA"/>
    <w:rsid w:val="002D60D1"/>
    <w:rsid w:val="002D7301"/>
    <w:rsid w:val="002E15FC"/>
    <w:rsid w:val="002E4414"/>
    <w:rsid w:val="002E52B7"/>
    <w:rsid w:val="00305AA5"/>
    <w:rsid w:val="00314026"/>
    <w:rsid w:val="003176A3"/>
    <w:rsid w:val="003260B5"/>
    <w:rsid w:val="003313E0"/>
    <w:rsid w:val="003318EB"/>
    <w:rsid w:val="00342EBA"/>
    <w:rsid w:val="00346390"/>
    <w:rsid w:val="00346837"/>
    <w:rsid w:val="00355E6D"/>
    <w:rsid w:val="003644F4"/>
    <w:rsid w:val="00364C1A"/>
    <w:rsid w:val="00372D17"/>
    <w:rsid w:val="00381C19"/>
    <w:rsid w:val="00381DF1"/>
    <w:rsid w:val="003841BC"/>
    <w:rsid w:val="00386C3C"/>
    <w:rsid w:val="00390074"/>
    <w:rsid w:val="00395D12"/>
    <w:rsid w:val="003A5FDD"/>
    <w:rsid w:val="003B33B9"/>
    <w:rsid w:val="003B40D9"/>
    <w:rsid w:val="003C401D"/>
    <w:rsid w:val="003C44D2"/>
    <w:rsid w:val="003C79AA"/>
    <w:rsid w:val="003C7AE8"/>
    <w:rsid w:val="003D660D"/>
    <w:rsid w:val="003D71F3"/>
    <w:rsid w:val="003E0CB3"/>
    <w:rsid w:val="003E2A45"/>
    <w:rsid w:val="003E3C70"/>
    <w:rsid w:val="003E5D30"/>
    <w:rsid w:val="003F5EC9"/>
    <w:rsid w:val="003F62AE"/>
    <w:rsid w:val="0040165C"/>
    <w:rsid w:val="00404C3D"/>
    <w:rsid w:val="00414240"/>
    <w:rsid w:val="00416BEC"/>
    <w:rsid w:val="004177B2"/>
    <w:rsid w:val="00417DD0"/>
    <w:rsid w:val="004267A3"/>
    <w:rsid w:val="004267EB"/>
    <w:rsid w:val="0043114E"/>
    <w:rsid w:val="00437B1A"/>
    <w:rsid w:val="0044186D"/>
    <w:rsid w:val="00445DF0"/>
    <w:rsid w:val="00451B5E"/>
    <w:rsid w:val="00460785"/>
    <w:rsid w:val="00465345"/>
    <w:rsid w:val="004735AA"/>
    <w:rsid w:val="004766EB"/>
    <w:rsid w:val="00476A14"/>
    <w:rsid w:val="00476C25"/>
    <w:rsid w:val="00477143"/>
    <w:rsid w:val="00481E48"/>
    <w:rsid w:val="00482624"/>
    <w:rsid w:val="00482EAF"/>
    <w:rsid w:val="0048431B"/>
    <w:rsid w:val="00486425"/>
    <w:rsid w:val="00490E4D"/>
    <w:rsid w:val="00493C02"/>
    <w:rsid w:val="00494D1C"/>
    <w:rsid w:val="0049500D"/>
    <w:rsid w:val="00496645"/>
    <w:rsid w:val="004A12B5"/>
    <w:rsid w:val="004A784B"/>
    <w:rsid w:val="004B3725"/>
    <w:rsid w:val="004B641D"/>
    <w:rsid w:val="004B7313"/>
    <w:rsid w:val="004C3A9D"/>
    <w:rsid w:val="004C4664"/>
    <w:rsid w:val="004D035A"/>
    <w:rsid w:val="004D300B"/>
    <w:rsid w:val="004D4348"/>
    <w:rsid w:val="004D476A"/>
    <w:rsid w:val="004D4D00"/>
    <w:rsid w:val="004D7FE0"/>
    <w:rsid w:val="004E0173"/>
    <w:rsid w:val="004F15E8"/>
    <w:rsid w:val="004F1B13"/>
    <w:rsid w:val="004F2734"/>
    <w:rsid w:val="004F31AD"/>
    <w:rsid w:val="004F5994"/>
    <w:rsid w:val="004F6454"/>
    <w:rsid w:val="004F736E"/>
    <w:rsid w:val="00501F90"/>
    <w:rsid w:val="00506959"/>
    <w:rsid w:val="00506D3F"/>
    <w:rsid w:val="005079C2"/>
    <w:rsid w:val="0051320B"/>
    <w:rsid w:val="005136FF"/>
    <w:rsid w:val="0051739E"/>
    <w:rsid w:val="00521DC1"/>
    <w:rsid w:val="00527567"/>
    <w:rsid w:val="00527EFE"/>
    <w:rsid w:val="00532F81"/>
    <w:rsid w:val="00532F99"/>
    <w:rsid w:val="0053447D"/>
    <w:rsid w:val="0053565A"/>
    <w:rsid w:val="00540C68"/>
    <w:rsid w:val="0054374C"/>
    <w:rsid w:val="00551E74"/>
    <w:rsid w:val="005540BC"/>
    <w:rsid w:val="00556C48"/>
    <w:rsid w:val="00561B38"/>
    <w:rsid w:val="005675B8"/>
    <w:rsid w:val="005712E8"/>
    <w:rsid w:val="00573C0F"/>
    <w:rsid w:val="00580D55"/>
    <w:rsid w:val="00581A7C"/>
    <w:rsid w:val="0058614E"/>
    <w:rsid w:val="00586CF0"/>
    <w:rsid w:val="0058747D"/>
    <w:rsid w:val="00593B7F"/>
    <w:rsid w:val="00596415"/>
    <w:rsid w:val="005A13CB"/>
    <w:rsid w:val="005A7AE0"/>
    <w:rsid w:val="005B2023"/>
    <w:rsid w:val="005B5AAA"/>
    <w:rsid w:val="005B70F8"/>
    <w:rsid w:val="005C1B7F"/>
    <w:rsid w:val="005C21F2"/>
    <w:rsid w:val="005C53CD"/>
    <w:rsid w:val="005D4DC7"/>
    <w:rsid w:val="005E5DA6"/>
    <w:rsid w:val="00604533"/>
    <w:rsid w:val="00604EE4"/>
    <w:rsid w:val="00610D5A"/>
    <w:rsid w:val="0061134B"/>
    <w:rsid w:val="00615305"/>
    <w:rsid w:val="006203AD"/>
    <w:rsid w:val="00621681"/>
    <w:rsid w:val="006238F6"/>
    <w:rsid w:val="00624158"/>
    <w:rsid w:val="00634ED5"/>
    <w:rsid w:val="00635C24"/>
    <w:rsid w:val="00641E34"/>
    <w:rsid w:val="006442BF"/>
    <w:rsid w:val="00644575"/>
    <w:rsid w:val="00650E3E"/>
    <w:rsid w:val="00652A87"/>
    <w:rsid w:val="00655828"/>
    <w:rsid w:val="006629A3"/>
    <w:rsid w:val="00662D18"/>
    <w:rsid w:val="00663197"/>
    <w:rsid w:val="006677C7"/>
    <w:rsid w:val="006725A5"/>
    <w:rsid w:val="00672F77"/>
    <w:rsid w:val="0067377C"/>
    <w:rsid w:val="00682FB2"/>
    <w:rsid w:val="006A3B29"/>
    <w:rsid w:val="006A5C98"/>
    <w:rsid w:val="006B268F"/>
    <w:rsid w:val="006C1B4F"/>
    <w:rsid w:val="006D0C4F"/>
    <w:rsid w:val="006D2183"/>
    <w:rsid w:val="006D5229"/>
    <w:rsid w:val="006D67B2"/>
    <w:rsid w:val="006D7E8E"/>
    <w:rsid w:val="006E1F0D"/>
    <w:rsid w:val="006E22B4"/>
    <w:rsid w:val="006E71B5"/>
    <w:rsid w:val="006F0FE4"/>
    <w:rsid w:val="006F4F8D"/>
    <w:rsid w:val="006F6C57"/>
    <w:rsid w:val="007013D3"/>
    <w:rsid w:val="00711E28"/>
    <w:rsid w:val="00715D56"/>
    <w:rsid w:val="00721A1C"/>
    <w:rsid w:val="007221E2"/>
    <w:rsid w:val="00725E8A"/>
    <w:rsid w:val="00741763"/>
    <w:rsid w:val="00741DB5"/>
    <w:rsid w:val="007450F6"/>
    <w:rsid w:val="00746BD6"/>
    <w:rsid w:val="0075080D"/>
    <w:rsid w:val="007520F1"/>
    <w:rsid w:val="00752961"/>
    <w:rsid w:val="0076202F"/>
    <w:rsid w:val="00765B47"/>
    <w:rsid w:val="00767D44"/>
    <w:rsid w:val="00767F57"/>
    <w:rsid w:val="00775D06"/>
    <w:rsid w:val="00782056"/>
    <w:rsid w:val="007844F5"/>
    <w:rsid w:val="00785C02"/>
    <w:rsid w:val="0078669F"/>
    <w:rsid w:val="00797D51"/>
    <w:rsid w:val="007A0226"/>
    <w:rsid w:val="007A24E9"/>
    <w:rsid w:val="007A58EC"/>
    <w:rsid w:val="007A6EFB"/>
    <w:rsid w:val="007B051C"/>
    <w:rsid w:val="007B74A7"/>
    <w:rsid w:val="007D1685"/>
    <w:rsid w:val="007D1DA2"/>
    <w:rsid w:val="007D5119"/>
    <w:rsid w:val="007D75E0"/>
    <w:rsid w:val="007E2CE8"/>
    <w:rsid w:val="007E7939"/>
    <w:rsid w:val="007F2B71"/>
    <w:rsid w:val="007F6D10"/>
    <w:rsid w:val="00800008"/>
    <w:rsid w:val="008056E2"/>
    <w:rsid w:val="00806922"/>
    <w:rsid w:val="008077A2"/>
    <w:rsid w:val="0081241D"/>
    <w:rsid w:val="008136D0"/>
    <w:rsid w:val="00813CE8"/>
    <w:rsid w:val="008149D0"/>
    <w:rsid w:val="00815028"/>
    <w:rsid w:val="00817119"/>
    <w:rsid w:val="00820793"/>
    <w:rsid w:val="00823F73"/>
    <w:rsid w:val="00827E1D"/>
    <w:rsid w:val="008340EB"/>
    <w:rsid w:val="0083479C"/>
    <w:rsid w:val="00835133"/>
    <w:rsid w:val="0084689E"/>
    <w:rsid w:val="00854614"/>
    <w:rsid w:val="008565EA"/>
    <w:rsid w:val="00861CED"/>
    <w:rsid w:val="00870878"/>
    <w:rsid w:val="0087271B"/>
    <w:rsid w:val="008816F7"/>
    <w:rsid w:val="00882340"/>
    <w:rsid w:val="008833AD"/>
    <w:rsid w:val="008867B7"/>
    <w:rsid w:val="00886815"/>
    <w:rsid w:val="00887921"/>
    <w:rsid w:val="0089169C"/>
    <w:rsid w:val="0089239E"/>
    <w:rsid w:val="008927F4"/>
    <w:rsid w:val="008A0008"/>
    <w:rsid w:val="008B2C73"/>
    <w:rsid w:val="008B30C5"/>
    <w:rsid w:val="008B4AC3"/>
    <w:rsid w:val="008B5B91"/>
    <w:rsid w:val="008B5C86"/>
    <w:rsid w:val="008B6655"/>
    <w:rsid w:val="008C0DE4"/>
    <w:rsid w:val="008C780E"/>
    <w:rsid w:val="008E352A"/>
    <w:rsid w:val="008E3EB9"/>
    <w:rsid w:val="008F4212"/>
    <w:rsid w:val="008F53E3"/>
    <w:rsid w:val="008F5BF2"/>
    <w:rsid w:val="008F7CA7"/>
    <w:rsid w:val="00900604"/>
    <w:rsid w:val="00904AE2"/>
    <w:rsid w:val="00905CBA"/>
    <w:rsid w:val="009078D2"/>
    <w:rsid w:val="00910C4F"/>
    <w:rsid w:val="00911FED"/>
    <w:rsid w:val="009174CD"/>
    <w:rsid w:val="00922558"/>
    <w:rsid w:val="00924A26"/>
    <w:rsid w:val="009306BC"/>
    <w:rsid w:val="009322C7"/>
    <w:rsid w:val="00935930"/>
    <w:rsid w:val="00942E31"/>
    <w:rsid w:val="00945601"/>
    <w:rsid w:val="009555E9"/>
    <w:rsid w:val="009607A7"/>
    <w:rsid w:val="0096108D"/>
    <w:rsid w:val="009634FB"/>
    <w:rsid w:val="009670C1"/>
    <w:rsid w:val="00970226"/>
    <w:rsid w:val="00970507"/>
    <w:rsid w:val="00973212"/>
    <w:rsid w:val="009746A9"/>
    <w:rsid w:val="009749AD"/>
    <w:rsid w:val="009821C7"/>
    <w:rsid w:val="00986C68"/>
    <w:rsid w:val="0098752D"/>
    <w:rsid w:val="00994E5A"/>
    <w:rsid w:val="00996427"/>
    <w:rsid w:val="0099711C"/>
    <w:rsid w:val="009A6167"/>
    <w:rsid w:val="009A7575"/>
    <w:rsid w:val="009B1E9B"/>
    <w:rsid w:val="009B4C4F"/>
    <w:rsid w:val="009B5501"/>
    <w:rsid w:val="009D344D"/>
    <w:rsid w:val="009D7A4A"/>
    <w:rsid w:val="009E0ED4"/>
    <w:rsid w:val="009E57AB"/>
    <w:rsid w:val="009E6302"/>
    <w:rsid w:val="009F63EB"/>
    <w:rsid w:val="009F7280"/>
    <w:rsid w:val="00A03609"/>
    <w:rsid w:val="00A064AD"/>
    <w:rsid w:val="00A20B31"/>
    <w:rsid w:val="00A2425C"/>
    <w:rsid w:val="00A31587"/>
    <w:rsid w:val="00A3240F"/>
    <w:rsid w:val="00A32A7A"/>
    <w:rsid w:val="00A41DBD"/>
    <w:rsid w:val="00A4275C"/>
    <w:rsid w:val="00A4498B"/>
    <w:rsid w:val="00A601BB"/>
    <w:rsid w:val="00A62BCA"/>
    <w:rsid w:val="00A63ABD"/>
    <w:rsid w:val="00A64F03"/>
    <w:rsid w:val="00A6621A"/>
    <w:rsid w:val="00A6716B"/>
    <w:rsid w:val="00A72367"/>
    <w:rsid w:val="00A72522"/>
    <w:rsid w:val="00A7786B"/>
    <w:rsid w:val="00A80C5B"/>
    <w:rsid w:val="00A81952"/>
    <w:rsid w:val="00A8713F"/>
    <w:rsid w:val="00A913D5"/>
    <w:rsid w:val="00AA0186"/>
    <w:rsid w:val="00AA2AF2"/>
    <w:rsid w:val="00AA3C2E"/>
    <w:rsid w:val="00AA64BE"/>
    <w:rsid w:val="00AB18AB"/>
    <w:rsid w:val="00AB3DD4"/>
    <w:rsid w:val="00AB6640"/>
    <w:rsid w:val="00AC0045"/>
    <w:rsid w:val="00AC0D0A"/>
    <w:rsid w:val="00AC1878"/>
    <w:rsid w:val="00AD405C"/>
    <w:rsid w:val="00AE092F"/>
    <w:rsid w:val="00AE0D56"/>
    <w:rsid w:val="00AE19C1"/>
    <w:rsid w:val="00AF21FA"/>
    <w:rsid w:val="00B05E29"/>
    <w:rsid w:val="00B07F36"/>
    <w:rsid w:val="00B13C9C"/>
    <w:rsid w:val="00B20359"/>
    <w:rsid w:val="00B22628"/>
    <w:rsid w:val="00B226D2"/>
    <w:rsid w:val="00B250E8"/>
    <w:rsid w:val="00B2563E"/>
    <w:rsid w:val="00B260A2"/>
    <w:rsid w:val="00B27ADD"/>
    <w:rsid w:val="00B3426A"/>
    <w:rsid w:val="00B35D53"/>
    <w:rsid w:val="00B41711"/>
    <w:rsid w:val="00B420AC"/>
    <w:rsid w:val="00B42250"/>
    <w:rsid w:val="00B53DD6"/>
    <w:rsid w:val="00B54870"/>
    <w:rsid w:val="00B563C3"/>
    <w:rsid w:val="00B6338E"/>
    <w:rsid w:val="00B637D3"/>
    <w:rsid w:val="00B70F99"/>
    <w:rsid w:val="00B71813"/>
    <w:rsid w:val="00B73A8D"/>
    <w:rsid w:val="00B7644F"/>
    <w:rsid w:val="00B76EB9"/>
    <w:rsid w:val="00B83435"/>
    <w:rsid w:val="00B83C28"/>
    <w:rsid w:val="00B87EE1"/>
    <w:rsid w:val="00B94BF4"/>
    <w:rsid w:val="00BA0823"/>
    <w:rsid w:val="00BA0EBB"/>
    <w:rsid w:val="00BA6C13"/>
    <w:rsid w:val="00BA79B7"/>
    <w:rsid w:val="00BB3706"/>
    <w:rsid w:val="00BC572F"/>
    <w:rsid w:val="00BD2293"/>
    <w:rsid w:val="00BD599C"/>
    <w:rsid w:val="00BE0F4C"/>
    <w:rsid w:val="00BE348D"/>
    <w:rsid w:val="00BE53A2"/>
    <w:rsid w:val="00BF08EE"/>
    <w:rsid w:val="00BF1066"/>
    <w:rsid w:val="00BF500E"/>
    <w:rsid w:val="00BF65B9"/>
    <w:rsid w:val="00BF7045"/>
    <w:rsid w:val="00BF76E3"/>
    <w:rsid w:val="00C01153"/>
    <w:rsid w:val="00C03507"/>
    <w:rsid w:val="00C03678"/>
    <w:rsid w:val="00C0390D"/>
    <w:rsid w:val="00C051F2"/>
    <w:rsid w:val="00C05FA2"/>
    <w:rsid w:val="00C16B52"/>
    <w:rsid w:val="00C17F08"/>
    <w:rsid w:val="00C201AF"/>
    <w:rsid w:val="00C255E6"/>
    <w:rsid w:val="00C32029"/>
    <w:rsid w:val="00C3467D"/>
    <w:rsid w:val="00C34D88"/>
    <w:rsid w:val="00C4375A"/>
    <w:rsid w:val="00C442D5"/>
    <w:rsid w:val="00C518EF"/>
    <w:rsid w:val="00C549C4"/>
    <w:rsid w:val="00C62890"/>
    <w:rsid w:val="00C63B84"/>
    <w:rsid w:val="00C64484"/>
    <w:rsid w:val="00C65443"/>
    <w:rsid w:val="00C70C06"/>
    <w:rsid w:val="00C77AFB"/>
    <w:rsid w:val="00C80A67"/>
    <w:rsid w:val="00C814AB"/>
    <w:rsid w:val="00C85C9F"/>
    <w:rsid w:val="00C9272A"/>
    <w:rsid w:val="00C96143"/>
    <w:rsid w:val="00CA099D"/>
    <w:rsid w:val="00CA4AA1"/>
    <w:rsid w:val="00CA72BE"/>
    <w:rsid w:val="00CB4C84"/>
    <w:rsid w:val="00CC57B7"/>
    <w:rsid w:val="00CE535E"/>
    <w:rsid w:val="00CF2FC0"/>
    <w:rsid w:val="00D03251"/>
    <w:rsid w:val="00D03EA5"/>
    <w:rsid w:val="00D155C1"/>
    <w:rsid w:val="00D20A4D"/>
    <w:rsid w:val="00D24F9A"/>
    <w:rsid w:val="00D26F09"/>
    <w:rsid w:val="00D27FD9"/>
    <w:rsid w:val="00D3118D"/>
    <w:rsid w:val="00D33B26"/>
    <w:rsid w:val="00D36018"/>
    <w:rsid w:val="00D41337"/>
    <w:rsid w:val="00D4391E"/>
    <w:rsid w:val="00D4508A"/>
    <w:rsid w:val="00D46F18"/>
    <w:rsid w:val="00D50FE4"/>
    <w:rsid w:val="00D51D6D"/>
    <w:rsid w:val="00D5283D"/>
    <w:rsid w:val="00D67E35"/>
    <w:rsid w:val="00D76278"/>
    <w:rsid w:val="00D834F3"/>
    <w:rsid w:val="00D872E2"/>
    <w:rsid w:val="00D920AC"/>
    <w:rsid w:val="00D93E0A"/>
    <w:rsid w:val="00D96901"/>
    <w:rsid w:val="00D97499"/>
    <w:rsid w:val="00DA07A2"/>
    <w:rsid w:val="00DA2A63"/>
    <w:rsid w:val="00DA7113"/>
    <w:rsid w:val="00DB0A95"/>
    <w:rsid w:val="00DB4606"/>
    <w:rsid w:val="00DB59F9"/>
    <w:rsid w:val="00DB6E31"/>
    <w:rsid w:val="00DC0B20"/>
    <w:rsid w:val="00DC17B3"/>
    <w:rsid w:val="00DC1CCD"/>
    <w:rsid w:val="00DC1E21"/>
    <w:rsid w:val="00DC4C2B"/>
    <w:rsid w:val="00DD03AD"/>
    <w:rsid w:val="00DD0704"/>
    <w:rsid w:val="00DD123A"/>
    <w:rsid w:val="00DD1EE2"/>
    <w:rsid w:val="00DD53D6"/>
    <w:rsid w:val="00DD7A5D"/>
    <w:rsid w:val="00DE117A"/>
    <w:rsid w:val="00DE138E"/>
    <w:rsid w:val="00DE3330"/>
    <w:rsid w:val="00DE45C4"/>
    <w:rsid w:val="00DE6AFD"/>
    <w:rsid w:val="00DF10D7"/>
    <w:rsid w:val="00DF12DD"/>
    <w:rsid w:val="00DF4766"/>
    <w:rsid w:val="00E07F22"/>
    <w:rsid w:val="00E11499"/>
    <w:rsid w:val="00E14AAD"/>
    <w:rsid w:val="00E176EB"/>
    <w:rsid w:val="00E2062F"/>
    <w:rsid w:val="00E24840"/>
    <w:rsid w:val="00E24874"/>
    <w:rsid w:val="00E325DC"/>
    <w:rsid w:val="00E34836"/>
    <w:rsid w:val="00E353B4"/>
    <w:rsid w:val="00E36C36"/>
    <w:rsid w:val="00E40751"/>
    <w:rsid w:val="00E40CAB"/>
    <w:rsid w:val="00E465DD"/>
    <w:rsid w:val="00E512A9"/>
    <w:rsid w:val="00E51926"/>
    <w:rsid w:val="00E53DB5"/>
    <w:rsid w:val="00E579BC"/>
    <w:rsid w:val="00E63AF1"/>
    <w:rsid w:val="00E64161"/>
    <w:rsid w:val="00E71CA2"/>
    <w:rsid w:val="00E72305"/>
    <w:rsid w:val="00E73A8C"/>
    <w:rsid w:val="00E75DF3"/>
    <w:rsid w:val="00E769DF"/>
    <w:rsid w:val="00E76F94"/>
    <w:rsid w:val="00E80DD2"/>
    <w:rsid w:val="00E8367E"/>
    <w:rsid w:val="00E90A7D"/>
    <w:rsid w:val="00E9307C"/>
    <w:rsid w:val="00E93744"/>
    <w:rsid w:val="00E945D6"/>
    <w:rsid w:val="00EA212D"/>
    <w:rsid w:val="00EA218E"/>
    <w:rsid w:val="00EA703E"/>
    <w:rsid w:val="00EB02E4"/>
    <w:rsid w:val="00EB0E66"/>
    <w:rsid w:val="00EC7FFD"/>
    <w:rsid w:val="00ED0685"/>
    <w:rsid w:val="00ED735C"/>
    <w:rsid w:val="00EE0A87"/>
    <w:rsid w:val="00EE1BEA"/>
    <w:rsid w:val="00EE62B5"/>
    <w:rsid w:val="00EF18CC"/>
    <w:rsid w:val="00F02317"/>
    <w:rsid w:val="00F02496"/>
    <w:rsid w:val="00F270DD"/>
    <w:rsid w:val="00F309B5"/>
    <w:rsid w:val="00F30AE6"/>
    <w:rsid w:val="00F328A7"/>
    <w:rsid w:val="00F34C19"/>
    <w:rsid w:val="00F405AC"/>
    <w:rsid w:val="00F40C7F"/>
    <w:rsid w:val="00F41809"/>
    <w:rsid w:val="00F558FB"/>
    <w:rsid w:val="00F60871"/>
    <w:rsid w:val="00F62BC3"/>
    <w:rsid w:val="00F63321"/>
    <w:rsid w:val="00F64A0E"/>
    <w:rsid w:val="00F66639"/>
    <w:rsid w:val="00F73183"/>
    <w:rsid w:val="00F73199"/>
    <w:rsid w:val="00F765CA"/>
    <w:rsid w:val="00F83369"/>
    <w:rsid w:val="00F83A16"/>
    <w:rsid w:val="00F84A1D"/>
    <w:rsid w:val="00F92103"/>
    <w:rsid w:val="00F964BF"/>
    <w:rsid w:val="00FA49D6"/>
    <w:rsid w:val="00FA6C5D"/>
    <w:rsid w:val="00FB0FE6"/>
    <w:rsid w:val="00FB30B1"/>
    <w:rsid w:val="00FB6994"/>
    <w:rsid w:val="00FC11E3"/>
    <w:rsid w:val="00FC3473"/>
    <w:rsid w:val="00FC3CA0"/>
    <w:rsid w:val="00FD7512"/>
    <w:rsid w:val="00FF0671"/>
    <w:rsid w:val="00FF212E"/>
    <w:rsid w:val="00FF40E5"/>
    <w:rsid w:val="00FF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ff3b"/>
    </o:shapedefaults>
    <o:shapelayout v:ext="edit">
      <o:idmap v:ext="edit" data="1"/>
    </o:shapelayout>
  </w:shapeDefaults>
  <w:decimalSymbol w:val="."/>
  <w:listSeparator w:val=","/>
  <w14:docId w14:val="4C7A49F8"/>
  <w15:docId w15:val="{8011AB13-54BB-4A9F-B6BB-511386D0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 w:type="paragraph" w:styleId="NormalWeb">
    <w:name w:val="Normal (Web)"/>
    <w:basedOn w:val="Normal"/>
    <w:uiPriority w:val="99"/>
    <w:semiHidden/>
    <w:unhideWhenUsed/>
    <w:rsid w:val="009A75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399063492">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148011662">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topics/benefits-stat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F28ED-250A-42E1-97EE-B95181B2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Maire Brolly</cp:lastModifiedBy>
  <cp:revision>7</cp:revision>
  <cp:lastPrinted>2015-05-14T09:49:00Z</cp:lastPrinted>
  <dcterms:created xsi:type="dcterms:W3CDTF">2018-03-02T13:15:00Z</dcterms:created>
  <dcterms:modified xsi:type="dcterms:W3CDTF">2018-04-17T12:12:00Z</dcterms:modified>
</cp:coreProperties>
</file>