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A60586">
        <w:rPr>
          <w:color w:val="244061" w:themeColor="accent1" w:themeShade="80"/>
          <w:sz w:val="48"/>
          <w:szCs w:val="48"/>
        </w:rPr>
        <w:t xml:space="preserve">DEMOGRAPHIC </w:t>
      </w:r>
      <w:r w:rsidR="00EB02E4">
        <w:rPr>
          <w:color w:val="244061" w:themeColor="accent1" w:themeShade="80"/>
          <w:sz w:val="48"/>
          <w:szCs w:val="48"/>
        </w:rPr>
        <w:t>DATA QUALITY REPORT</w:t>
      </w:r>
    </w:p>
    <w:tbl>
      <w:tblPr>
        <w:tblStyle w:val="TableGrid"/>
        <w:tblW w:w="10598" w:type="dxa"/>
        <w:tblLook w:val="04A0"/>
      </w:tblPr>
      <w:tblGrid>
        <w:gridCol w:w="2984"/>
        <w:gridCol w:w="7614"/>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C04EBF">
        <w:tc>
          <w:tcPr>
            <w:tcW w:w="2984" w:type="dxa"/>
          </w:tcPr>
          <w:p w:rsidR="00E72305" w:rsidRPr="004F1B13" w:rsidRDefault="00364C1A" w:rsidP="00662D18">
            <w:pPr>
              <w:rPr>
                <w:rFonts w:cstheme="minorHAnsi"/>
                <w:color w:val="244061" w:themeColor="accent1" w:themeShade="80"/>
              </w:rPr>
            </w:pPr>
            <w:r w:rsidRPr="004F1B13">
              <w:rPr>
                <w:rFonts w:cstheme="minorHAnsi"/>
                <w:color w:val="244061" w:themeColor="accent1" w:themeShade="80"/>
              </w:rPr>
              <w:t>DATA SUPPLIER</w:t>
            </w:r>
            <w:r w:rsidR="0075080D" w:rsidRPr="004F1B13">
              <w:rPr>
                <w:rFonts w:cstheme="minorHAnsi"/>
                <w:color w:val="244061" w:themeColor="accent1" w:themeShade="80"/>
              </w:rPr>
              <w:t>:</w:t>
            </w:r>
          </w:p>
        </w:tc>
        <w:tc>
          <w:tcPr>
            <w:tcW w:w="7614" w:type="dxa"/>
          </w:tcPr>
          <w:p w:rsidR="00E72305" w:rsidRPr="004F1B13" w:rsidRDefault="00FE5D0B" w:rsidP="00662D18">
            <w:pPr>
              <w:rPr>
                <w:rFonts w:cstheme="minorHAnsi"/>
                <w:color w:val="244061" w:themeColor="accent1" w:themeShade="80"/>
              </w:rPr>
            </w:pPr>
            <w:r>
              <w:rPr>
                <w:rFonts w:cstheme="minorHAnsi"/>
                <w:color w:val="244061" w:themeColor="accent1" w:themeShade="80"/>
              </w:rPr>
              <w:t>Department of Education (DE)</w:t>
            </w:r>
          </w:p>
        </w:tc>
      </w:tr>
      <w:tr w:rsidR="004F1B13" w:rsidRPr="004F1B13" w:rsidTr="00C04EBF">
        <w:trPr>
          <w:trHeight w:val="826"/>
        </w:trPr>
        <w:tc>
          <w:tcPr>
            <w:tcW w:w="2984" w:type="dxa"/>
          </w:tcPr>
          <w:p w:rsidR="004F1B13" w:rsidRPr="004F1B13" w:rsidRDefault="004F1B13" w:rsidP="00662D18">
            <w:pPr>
              <w:rPr>
                <w:rFonts w:cstheme="minorHAnsi"/>
                <w:color w:val="244061" w:themeColor="accent1" w:themeShade="80"/>
              </w:rPr>
            </w:pPr>
          </w:p>
          <w:p w:rsidR="004F1B13" w:rsidRPr="004F1B13" w:rsidRDefault="004F1B13" w:rsidP="00662D18">
            <w:pPr>
              <w:rPr>
                <w:rFonts w:cstheme="minorHAnsi"/>
                <w:color w:val="244061" w:themeColor="accent1" w:themeShade="80"/>
              </w:rPr>
            </w:pPr>
            <w:r w:rsidRPr="004F1B13">
              <w:rPr>
                <w:rFonts w:cstheme="minorHAnsi"/>
                <w:color w:val="244061" w:themeColor="accent1" w:themeShade="80"/>
              </w:rPr>
              <w:t>DESCRIPTION:</w:t>
            </w:r>
          </w:p>
        </w:tc>
        <w:tc>
          <w:tcPr>
            <w:tcW w:w="7614" w:type="dxa"/>
          </w:tcPr>
          <w:p w:rsidR="008B5B91" w:rsidRPr="008B5B91" w:rsidRDefault="00FE5D0B" w:rsidP="008B5B91">
            <w:pPr>
              <w:rPr>
                <w:rFonts w:cstheme="minorHAnsi"/>
                <w:color w:val="244061" w:themeColor="accent1" w:themeShade="80"/>
              </w:rPr>
            </w:pPr>
            <w:r>
              <w:rPr>
                <w:rFonts w:cstheme="minorHAnsi"/>
                <w:color w:val="244061" w:themeColor="accent1" w:themeShade="80"/>
              </w:rPr>
              <w:t>School registration data for children in Primary and Special</w:t>
            </w:r>
            <w:r w:rsidR="007F190A">
              <w:rPr>
                <w:rFonts w:cstheme="minorHAnsi"/>
                <w:color w:val="244061" w:themeColor="accent1" w:themeShade="80"/>
              </w:rPr>
              <w:t xml:space="preserve"> Pupil</w:t>
            </w:r>
            <w:r>
              <w:rPr>
                <w:rFonts w:cstheme="minorHAnsi"/>
                <w:color w:val="244061" w:themeColor="accent1" w:themeShade="80"/>
              </w:rPr>
              <w:t xml:space="preserve"> education</w:t>
            </w:r>
            <w:r w:rsidR="00AA6FEE">
              <w:rPr>
                <w:rFonts w:cstheme="minorHAnsi"/>
                <w:color w:val="244061" w:themeColor="accent1" w:themeShade="80"/>
              </w:rPr>
              <w:t xml:space="preserve"> for academic years 2006</w:t>
            </w:r>
            <w:r w:rsidR="00C51FA2">
              <w:rPr>
                <w:rFonts w:cstheme="minorHAnsi"/>
                <w:color w:val="244061" w:themeColor="accent1" w:themeShade="80"/>
              </w:rPr>
              <w:t>/07 to 2013/14</w:t>
            </w:r>
            <w:r w:rsidR="00BB3E21">
              <w:rPr>
                <w:rFonts w:cstheme="minorHAnsi"/>
                <w:color w:val="244061" w:themeColor="accent1" w:themeShade="80"/>
              </w:rPr>
              <w:t>, and registrations for Post-Primary education from 2007/08 to 2013/14</w:t>
            </w:r>
          </w:p>
          <w:p w:rsidR="00FF40E5" w:rsidRPr="00FF40E5" w:rsidRDefault="00FF40E5" w:rsidP="00FF40E5">
            <w:pPr>
              <w:jc w:val="right"/>
              <w:rPr>
                <w:rFonts w:cstheme="minorHAnsi"/>
                <w:color w:val="244061" w:themeColor="accent1" w:themeShade="80"/>
              </w:rPr>
            </w:pPr>
          </w:p>
        </w:tc>
      </w:tr>
      <w:tr w:rsidR="00EB02E4" w:rsidRPr="004F1B13" w:rsidTr="00C04EBF">
        <w:tc>
          <w:tcPr>
            <w:tcW w:w="2984" w:type="dxa"/>
            <w:tcBorders>
              <w:bottom w:val="single" w:sz="4" w:space="0" w:color="auto"/>
            </w:tcBorders>
          </w:tcPr>
          <w:p w:rsidR="00EB02E4" w:rsidRPr="004F1B13" w:rsidRDefault="00EB02E4" w:rsidP="00662D18">
            <w:pPr>
              <w:rPr>
                <w:rFonts w:cstheme="minorHAnsi"/>
                <w:color w:val="244061" w:themeColor="accent1" w:themeShade="80"/>
              </w:rPr>
            </w:pPr>
            <w:r>
              <w:rPr>
                <w:rFonts w:cstheme="minorHAnsi"/>
                <w:color w:val="244061" w:themeColor="accent1" w:themeShade="80"/>
              </w:rPr>
              <w:t>COVERAGE:</w:t>
            </w:r>
          </w:p>
        </w:tc>
        <w:tc>
          <w:tcPr>
            <w:tcW w:w="7614" w:type="dxa"/>
            <w:tcBorders>
              <w:bottom w:val="single" w:sz="4" w:space="0" w:color="auto"/>
            </w:tcBorders>
          </w:tcPr>
          <w:p w:rsidR="00EB02E4" w:rsidRPr="004F1B13" w:rsidRDefault="00FF40E5" w:rsidP="00FF0671">
            <w:pPr>
              <w:rPr>
                <w:rFonts w:cstheme="minorHAnsi"/>
                <w:color w:val="244061" w:themeColor="accent1" w:themeShade="80"/>
              </w:rPr>
            </w:pPr>
            <w:r>
              <w:rPr>
                <w:rFonts w:cstheme="minorHAnsi"/>
                <w:color w:val="244061" w:themeColor="accent1" w:themeShade="80"/>
              </w:rPr>
              <w:t xml:space="preserve">Northern Ireland </w:t>
            </w:r>
          </w:p>
        </w:tc>
      </w:tr>
      <w:tr w:rsidR="00596415" w:rsidRPr="004F1B13" w:rsidTr="00C04EBF">
        <w:tc>
          <w:tcPr>
            <w:tcW w:w="2984" w:type="dxa"/>
            <w:tcBorders>
              <w:bottom w:val="single" w:sz="4" w:space="0" w:color="auto"/>
            </w:tcBorders>
          </w:tcPr>
          <w:p w:rsidR="00596415" w:rsidRPr="004F1B13" w:rsidRDefault="00741763" w:rsidP="00662D18">
            <w:pPr>
              <w:rPr>
                <w:rFonts w:cstheme="minorHAnsi"/>
                <w:color w:val="244061" w:themeColor="accent1" w:themeShade="80"/>
              </w:rPr>
            </w:pPr>
            <w:r w:rsidRPr="004F1B13">
              <w:rPr>
                <w:rFonts w:cstheme="minorHAnsi"/>
                <w:color w:val="244061" w:themeColor="accent1" w:themeShade="80"/>
              </w:rPr>
              <w:t>NUMBER OF RECORDS:</w:t>
            </w:r>
          </w:p>
        </w:tc>
        <w:tc>
          <w:tcPr>
            <w:tcW w:w="7614" w:type="dxa"/>
            <w:tcBorders>
              <w:bottom w:val="single" w:sz="4" w:space="0" w:color="auto"/>
            </w:tcBorders>
          </w:tcPr>
          <w:p w:rsidR="00596415" w:rsidRDefault="00C51FA2" w:rsidP="00494D1C">
            <w:pPr>
              <w:rPr>
                <w:rFonts w:cstheme="minorHAnsi"/>
                <w:color w:val="244061" w:themeColor="accent1" w:themeShade="80"/>
              </w:rPr>
            </w:pPr>
            <w:r>
              <w:rPr>
                <w:rFonts w:cstheme="minorHAnsi"/>
                <w:color w:val="244061" w:themeColor="accent1" w:themeShade="80"/>
              </w:rPr>
              <w:t>2,395,568 records in total</w:t>
            </w:r>
            <w:r w:rsidR="007F190A">
              <w:rPr>
                <w:rFonts w:cstheme="minorHAnsi"/>
                <w:color w:val="244061" w:themeColor="accent1" w:themeShade="80"/>
              </w:rPr>
              <w:t xml:space="preserve"> made up of the following-</w:t>
            </w:r>
          </w:p>
          <w:p w:rsidR="007F190A" w:rsidRDefault="007F190A" w:rsidP="00494D1C">
            <w:pPr>
              <w:rPr>
                <w:rFonts w:cstheme="minorHAnsi"/>
                <w:color w:val="244061" w:themeColor="accent1" w:themeShade="80"/>
              </w:rPr>
            </w:pPr>
            <w:r>
              <w:rPr>
                <w:rFonts w:cstheme="minorHAnsi"/>
                <w:color w:val="244061" w:themeColor="accent1" w:themeShade="80"/>
              </w:rPr>
              <w:t>Average 146,852 per academic year in Post-Primary Education (total = 1,027,967)</w:t>
            </w:r>
          </w:p>
          <w:p w:rsidR="007F190A" w:rsidRDefault="007F190A" w:rsidP="00494D1C">
            <w:pPr>
              <w:rPr>
                <w:rFonts w:cstheme="minorHAnsi"/>
                <w:color w:val="244061" w:themeColor="accent1" w:themeShade="80"/>
              </w:rPr>
            </w:pPr>
            <w:r>
              <w:rPr>
                <w:rFonts w:cstheme="minorHAnsi"/>
                <w:color w:val="244061" w:themeColor="accent1" w:themeShade="80"/>
              </w:rPr>
              <w:t>Average 166,363 per academic year in Primary Education (total = 1,330,900)</w:t>
            </w:r>
          </w:p>
          <w:p w:rsidR="007F190A" w:rsidRDefault="007F190A" w:rsidP="00494D1C">
            <w:pPr>
              <w:rPr>
                <w:rFonts w:cstheme="minorHAnsi"/>
                <w:color w:val="244061" w:themeColor="accent1" w:themeShade="80"/>
              </w:rPr>
            </w:pPr>
            <w:r>
              <w:rPr>
                <w:rFonts w:cstheme="minorHAnsi"/>
                <w:color w:val="244061" w:themeColor="accent1" w:themeShade="80"/>
              </w:rPr>
              <w:t>Average 4588 per academic year in Special Pupil Education (total = 36,701)</w:t>
            </w:r>
          </w:p>
          <w:p w:rsidR="00A52B26" w:rsidRPr="004F1B13" w:rsidRDefault="00A52B26" w:rsidP="00C51FA2">
            <w:pPr>
              <w:rPr>
                <w:rFonts w:cstheme="minorHAnsi"/>
                <w:color w:val="244061" w:themeColor="accent1" w:themeShade="80"/>
              </w:rPr>
            </w:pPr>
          </w:p>
        </w:tc>
      </w:tr>
      <w:tr w:rsidR="008B5B91" w:rsidRPr="004F1B13" w:rsidTr="004F1B13">
        <w:tc>
          <w:tcPr>
            <w:tcW w:w="10598" w:type="dxa"/>
            <w:gridSpan w:val="2"/>
            <w:shd w:val="clear" w:color="auto" w:fill="CCC0D9" w:themeFill="accent4" w:themeFillTint="66"/>
          </w:tcPr>
          <w:p w:rsidR="008B5B91" w:rsidRDefault="008B5B91" w:rsidP="00662D18">
            <w:pPr>
              <w:rPr>
                <w:rFonts w:cstheme="minorHAnsi"/>
                <w:b/>
                <w:color w:val="244061" w:themeColor="accent1" w:themeShade="80"/>
              </w:rPr>
            </w:pPr>
            <w:r>
              <w:rPr>
                <w:rFonts w:cstheme="minorHAnsi"/>
                <w:b/>
                <w:color w:val="244061" w:themeColor="accent1" w:themeShade="80"/>
              </w:rPr>
              <w:t>DATA BACKGROUND</w:t>
            </w:r>
          </w:p>
        </w:tc>
      </w:tr>
      <w:tr w:rsidR="008B5B91" w:rsidRPr="004F1B13" w:rsidTr="008B5B91">
        <w:tc>
          <w:tcPr>
            <w:tcW w:w="10598" w:type="dxa"/>
            <w:gridSpan w:val="2"/>
            <w:shd w:val="clear" w:color="auto" w:fill="auto"/>
          </w:tcPr>
          <w:p w:rsidR="008B5B91" w:rsidRDefault="008B5B91" w:rsidP="00662D18">
            <w:pPr>
              <w:rPr>
                <w:rFonts w:cstheme="minorHAnsi"/>
                <w:b/>
                <w:color w:val="244061" w:themeColor="accent1" w:themeShade="80"/>
              </w:rPr>
            </w:pPr>
          </w:p>
          <w:p w:rsidR="00304D1F" w:rsidRDefault="00893282" w:rsidP="00304D1F">
            <w:pPr>
              <w:rPr>
                <w:color w:val="1F497D"/>
              </w:rPr>
            </w:pPr>
            <w:r>
              <w:rPr>
                <w:rFonts w:cstheme="minorHAnsi"/>
                <w:color w:val="244061" w:themeColor="accent1" w:themeShade="80"/>
              </w:rPr>
              <w:t xml:space="preserve">Information on pupil enrolments is collected annually from schools, as part of what is commonly known as the schools census. The data collection exercise is an annual snapshot of pupil and school level data for each pre-school centre, nursery, </w:t>
            </w:r>
            <w:proofErr w:type="gramStart"/>
            <w:r>
              <w:rPr>
                <w:rFonts w:cstheme="minorHAnsi"/>
                <w:color w:val="244061" w:themeColor="accent1" w:themeShade="80"/>
              </w:rPr>
              <w:t>special</w:t>
            </w:r>
            <w:proofErr w:type="gramEnd"/>
            <w:r>
              <w:rPr>
                <w:rFonts w:cstheme="minorHAnsi"/>
                <w:color w:val="244061" w:themeColor="accent1" w:themeShade="80"/>
              </w:rPr>
              <w:t xml:space="preserve">, primary, post-primary, hospital and independent school in Northern Ireland. </w:t>
            </w:r>
          </w:p>
          <w:p w:rsidR="0082413F" w:rsidRDefault="00893282" w:rsidP="0082413F">
            <w:pPr>
              <w:rPr>
                <w:rFonts w:cstheme="minorHAnsi"/>
                <w:color w:val="244061" w:themeColor="accent1" w:themeShade="80"/>
              </w:rPr>
            </w:pPr>
            <w:r>
              <w:rPr>
                <w:rFonts w:cstheme="minorHAnsi"/>
                <w:color w:val="244061" w:themeColor="accent1" w:themeShade="80"/>
              </w:rPr>
              <w:t>As well as data relating to school enrolments and numbers, information in relation to attendance is collected as part of the overall school return. The date</w:t>
            </w:r>
            <w:r w:rsidR="00823A23">
              <w:rPr>
                <w:rFonts w:cstheme="minorHAnsi"/>
                <w:color w:val="244061" w:themeColor="accent1" w:themeShade="80"/>
              </w:rPr>
              <w:t xml:space="preserve"> of</w:t>
            </w:r>
            <w:r>
              <w:rPr>
                <w:rFonts w:cstheme="minorHAnsi"/>
                <w:color w:val="244061" w:themeColor="accent1" w:themeShade="80"/>
              </w:rPr>
              <w:t xml:space="preserve"> the school census is usually the Friday of the first full working-week in October.</w:t>
            </w:r>
            <w:r w:rsidR="00304D1F">
              <w:rPr>
                <w:color w:val="1F497D"/>
              </w:rPr>
              <w:t xml:space="preserve"> </w:t>
            </w:r>
            <w:r w:rsidR="00304D1F" w:rsidRPr="00304D1F">
              <w:rPr>
                <w:rFonts w:cstheme="minorHAnsi"/>
                <w:color w:val="244061" w:themeColor="accent1" w:themeShade="80"/>
              </w:rPr>
              <w:t>For primary, post-primary and special schools, schools upload a version of the data they hold on their administrative system, SIMS, as of census day.</w:t>
            </w:r>
          </w:p>
          <w:p w:rsidR="006E2783" w:rsidRDefault="006E2783" w:rsidP="0082413F">
            <w:pPr>
              <w:rPr>
                <w:rFonts w:cstheme="minorHAnsi"/>
                <w:color w:val="244061" w:themeColor="accent1" w:themeShade="80"/>
              </w:rPr>
            </w:pPr>
          </w:p>
          <w:p w:rsidR="00893282" w:rsidRDefault="00893282" w:rsidP="0082413F">
            <w:pPr>
              <w:rPr>
                <w:rFonts w:cstheme="minorHAnsi"/>
                <w:color w:val="244061" w:themeColor="accent1" w:themeShade="80"/>
              </w:rPr>
            </w:pPr>
            <w:r>
              <w:rPr>
                <w:rFonts w:cstheme="minorHAnsi"/>
                <w:color w:val="244061" w:themeColor="accent1" w:themeShade="80"/>
              </w:rPr>
              <w:t>Data is collected via both electronic data interchange and via paper returns and relates mainly to pupil characteristics and attributes such as year group, religion, ethnicity, special needs, etc.</w:t>
            </w:r>
          </w:p>
          <w:p w:rsidR="006E2783" w:rsidRDefault="006E2783" w:rsidP="0082413F">
            <w:pPr>
              <w:rPr>
                <w:rFonts w:cstheme="minorHAnsi"/>
                <w:color w:val="244061" w:themeColor="accent1" w:themeShade="80"/>
              </w:rPr>
            </w:pPr>
          </w:p>
          <w:p w:rsidR="004634F5" w:rsidRDefault="00893282" w:rsidP="0082413F">
            <w:pPr>
              <w:rPr>
                <w:rFonts w:cstheme="minorHAnsi"/>
                <w:color w:val="244061" w:themeColor="accent1" w:themeShade="80"/>
              </w:rPr>
            </w:pPr>
            <w:r>
              <w:rPr>
                <w:rFonts w:cstheme="minorHAnsi"/>
                <w:color w:val="244061" w:themeColor="accent1" w:themeShade="80"/>
              </w:rPr>
              <w:t xml:space="preserve">The content of the census is defined by DE information needs. The relevance of this is checked each year against any changes </w:t>
            </w:r>
            <w:r w:rsidR="009300A5">
              <w:rPr>
                <w:rFonts w:cstheme="minorHAnsi"/>
                <w:color w:val="244061" w:themeColor="accent1" w:themeShade="80"/>
              </w:rPr>
              <w:t xml:space="preserve">requested by </w:t>
            </w:r>
            <w:r>
              <w:rPr>
                <w:rFonts w:cstheme="minorHAnsi"/>
                <w:color w:val="244061" w:themeColor="accent1" w:themeShade="80"/>
              </w:rPr>
              <w:t>DE branches and the Education and Library Boards</w:t>
            </w:r>
            <w:r w:rsidR="006E2783">
              <w:rPr>
                <w:rFonts w:cstheme="minorHAnsi"/>
                <w:color w:val="244061" w:themeColor="accent1" w:themeShade="80"/>
              </w:rPr>
              <w:t xml:space="preserve"> and subsequently the information requested can differ with each a</w:t>
            </w:r>
            <w:r w:rsidR="005C538C">
              <w:rPr>
                <w:rFonts w:cstheme="minorHAnsi"/>
                <w:color w:val="244061" w:themeColor="accent1" w:themeShade="80"/>
              </w:rPr>
              <w:t xml:space="preserve">nnual </w:t>
            </w:r>
            <w:r w:rsidR="00304D1F">
              <w:rPr>
                <w:rFonts w:cstheme="minorHAnsi"/>
                <w:color w:val="244061" w:themeColor="accent1" w:themeShade="80"/>
              </w:rPr>
              <w:t>return</w:t>
            </w:r>
            <w:r w:rsidR="005C538C">
              <w:rPr>
                <w:rFonts w:cstheme="minorHAnsi"/>
                <w:color w:val="244061" w:themeColor="accent1" w:themeShade="80"/>
              </w:rPr>
              <w:t>.</w:t>
            </w:r>
          </w:p>
          <w:p w:rsidR="006E2783" w:rsidRDefault="006E2783" w:rsidP="0082413F">
            <w:pPr>
              <w:rPr>
                <w:rFonts w:cstheme="minorHAnsi"/>
                <w:color w:val="244061" w:themeColor="accent1" w:themeShade="80"/>
              </w:rPr>
            </w:pPr>
          </w:p>
          <w:p w:rsidR="006A3C50" w:rsidRPr="0082413F" w:rsidRDefault="006A3C50" w:rsidP="0082413F">
            <w:pPr>
              <w:rPr>
                <w:rFonts w:cstheme="minorHAnsi"/>
                <w:color w:val="244061" w:themeColor="accent1" w:themeShade="80"/>
              </w:rPr>
            </w:pPr>
            <w:r>
              <w:rPr>
                <w:rFonts w:cstheme="minorHAnsi"/>
                <w:color w:val="244061" w:themeColor="accent1" w:themeShade="80"/>
              </w:rPr>
              <w:t xml:space="preserve">All schools are legally required to return a fully completed school census </w:t>
            </w:r>
            <w:r w:rsidR="00304D1F">
              <w:rPr>
                <w:rFonts w:cstheme="minorHAnsi"/>
                <w:color w:val="244061" w:themeColor="accent1" w:themeShade="80"/>
              </w:rPr>
              <w:t>download</w:t>
            </w:r>
            <w:r>
              <w:rPr>
                <w:rFonts w:cstheme="minorHAnsi"/>
                <w:color w:val="244061" w:themeColor="accent1" w:themeShade="80"/>
              </w:rPr>
              <w:t xml:space="preserve"> under the Education and Libraries (NI) Order 2003 Art</w:t>
            </w:r>
            <w:r w:rsidR="009C7B6F">
              <w:rPr>
                <w:rFonts w:cstheme="minorHAnsi"/>
                <w:color w:val="244061" w:themeColor="accent1" w:themeShade="80"/>
              </w:rPr>
              <w:t>icle 37. A number of validation checks</w:t>
            </w:r>
            <w:r>
              <w:rPr>
                <w:rFonts w:cstheme="minorHAnsi"/>
                <w:color w:val="244061" w:themeColor="accent1" w:themeShade="80"/>
              </w:rPr>
              <w:t xml:space="preserve"> are built into the reporting process in schools, so that </w:t>
            </w:r>
            <w:r w:rsidR="009C7B6F">
              <w:rPr>
                <w:rFonts w:cstheme="minorHAnsi"/>
                <w:color w:val="244061" w:themeColor="accent1" w:themeShade="80"/>
              </w:rPr>
              <w:t>they</w:t>
            </w:r>
            <w:r>
              <w:rPr>
                <w:rFonts w:cstheme="minorHAnsi"/>
                <w:color w:val="244061" w:themeColor="accent1" w:themeShade="80"/>
              </w:rPr>
              <w:t xml:space="preserve"> can verify and correct data before it is </w:t>
            </w:r>
            <w:r w:rsidR="00260E68">
              <w:rPr>
                <w:rFonts w:cstheme="minorHAnsi"/>
                <w:color w:val="244061" w:themeColor="accent1" w:themeShade="80"/>
              </w:rPr>
              <w:t>submitted</w:t>
            </w:r>
            <w:r>
              <w:rPr>
                <w:rFonts w:cstheme="minorHAnsi"/>
                <w:color w:val="244061" w:themeColor="accent1" w:themeShade="80"/>
              </w:rPr>
              <w:t>. Once data is</w:t>
            </w:r>
            <w:r w:rsidR="009C7B6F">
              <w:rPr>
                <w:rFonts w:cstheme="minorHAnsi"/>
                <w:color w:val="244061" w:themeColor="accent1" w:themeShade="80"/>
              </w:rPr>
              <w:t xml:space="preserve"> collected</w:t>
            </w:r>
            <w:r w:rsidR="00260E68">
              <w:rPr>
                <w:rFonts w:cstheme="minorHAnsi"/>
                <w:color w:val="244061" w:themeColor="accent1" w:themeShade="80"/>
              </w:rPr>
              <w:t xml:space="preserve">, it is subjected to a further set of checks, including </w:t>
            </w:r>
            <w:r w:rsidR="009C7B6F">
              <w:rPr>
                <w:rFonts w:cstheme="minorHAnsi"/>
                <w:color w:val="244061" w:themeColor="accent1" w:themeShade="80"/>
              </w:rPr>
              <w:t>verification</w:t>
            </w:r>
            <w:r w:rsidR="00260E68">
              <w:rPr>
                <w:rFonts w:cstheme="minorHAnsi"/>
                <w:color w:val="244061" w:themeColor="accent1" w:themeShade="80"/>
              </w:rPr>
              <w:t xml:space="preserve"> against ELB information systems for items such as free school meals entitlement.</w:t>
            </w:r>
          </w:p>
          <w:p w:rsidR="001B2729" w:rsidRDefault="001B2729" w:rsidP="001B2729">
            <w:pPr>
              <w:pStyle w:val="ListParagraph"/>
              <w:rPr>
                <w:rFonts w:cstheme="minorHAnsi"/>
                <w:b/>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4F1B13" w:rsidRDefault="00EB02E4" w:rsidP="00C814AB">
            <w:pPr>
              <w:rPr>
                <w:rFonts w:cstheme="minorHAnsi"/>
                <w:b/>
                <w:color w:val="244061" w:themeColor="accent1" w:themeShade="80"/>
              </w:rPr>
            </w:pPr>
            <w:r>
              <w:rPr>
                <w:rFonts w:cstheme="minorHAnsi"/>
                <w:b/>
                <w:color w:val="244061" w:themeColor="accent1" w:themeShade="80"/>
              </w:rPr>
              <w:t xml:space="preserve">DEMOGRAPHIC 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E51926" w:rsidRDefault="00390074" w:rsidP="003D660D">
            <w:pPr>
              <w:rPr>
                <w:rFonts w:cstheme="minorHAnsi"/>
                <w:color w:val="0F243E" w:themeColor="text2" w:themeShade="80"/>
              </w:rPr>
            </w:pPr>
            <w:r w:rsidRPr="00E51926">
              <w:rPr>
                <w:rFonts w:cstheme="minorHAnsi"/>
                <w:color w:val="0F243E" w:themeColor="text2" w:themeShade="80"/>
              </w:rPr>
              <w:t>Information</w:t>
            </w:r>
            <w:r w:rsidR="001C42BC" w:rsidRPr="00E51926">
              <w:rPr>
                <w:rFonts w:cstheme="minorHAnsi"/>
                <w:color w:val="0F243E" w:themeColor="text2" w:themeShade="80"/>
              </w:rPr>
              <w:t xml:space="preserve"> available to</w:t>
            </w:r>
            <w:r w:rsidRPr="00E51926">
              <w:rPr>
                <w:rFonts w:cstheme="minorHAnsi"/>
                <w:color w:val="0F243E" w:themeColor="text2" w:themeShade="80"/>
              </w:rPr>
              <w:t xml:space="preserve"> the TTP for linkage purposes -</w:t>
            </w:r>
          </w:p>
          <w:p w:rsidR="00390074" w:rsidRDefault="00390074" w:rsidP="003D660D">
            <w:pPr>
              <w:rPr>
                <w:rFonts w:cstheme="minorHAnsi"/>
                <w:color w:val="244061" w:themeColor="accent1" w:themeShade="80"/>
              </w:rPr>
            </w:pPr>
          </w:p>
          <w:p w:rsidR="00AA09D3" w:rsidRPr="004269F9" w:rsidRDefault="004269F9" w:rsidP="00390074">
            <w:pPr>
              <w:pStyle w:val="ListParagraph"/>
              <w:numPr>
                <w:ilvl w:val="0"/>
                <w:numId w:val="36"/>
              </w:numPr>
              <w:rPr>
                <w:rFonts w:cstheme="minorHAnsi"/>
                <w:color w:val="244061" w:themeColor="accent1" w:themeShade="80"/>
              </w:rPr>
            </w:pPr>
            <w:r>
              <w:rPr>
                <w:rFonts w:cstheme="minorHAnsi"/>
                <w:color w:val="244061" w:themeColor="accent1" w:themeShade="80"/>
              </w:rPr>
              <w:t>Unique Pupil Number (</w:t>
            </w:r>
            <w:r w:rsidR="00AA09D3" w:rsidRPr="004269F9">
              <w:rPr>
                <w:rFonts w:cstheme="minorHAnsi"/>
                <w:color w:val="244061" w:themeColor="accent1" w:themeShade="80"/>
              </w:rPr>
              <w:t>UPN</w:t>
            </w:r>
            <w:r>
              <w:rPr>
                <w:rFonts w:cstheme="minorHAnsi"/>
                <w:color w:val="244061" w:themeColor="accent1" w:themeShade="80"/>
              </w:rPr>
              <w:t>)</w:t>
            </w:r>
          </w:p>
          <w:p w:rsidR="00390074" w:rsidRPr="004269F9" w:rsidRDefault="00390074" w:rsidP="00390074">
            <w:pPr>
              <w:pStyle w:val="ListParagraph"/>
              <w:numPr>
                <w:ilvl w:val="0"/>
                <w:numId w:val="36"/>
              </w:numPr>
              <w:rPr>
                <w:rFonts w:cstheme="minorHAnsi"/>
                <w:color w:val="244061" w:themeColor="accent1" w:themeShade="80"/>
              </w:rPr>
            </w:pPr>
            <w:r w:rsidRPr="004269F9">
              <w:rPr>
                <w:rFonts w:cstheme="minorHAnsi"/>
                <w:color w:val="244061" w:themeColor="accent1" w:themeShade="80"/>
              </w:rPr>
              <w:t xml:space="preserve">Name information </w:t>
            </w:r>
            <w:r w:rsidR="004269F9">
              <w:rPr>
                <w:rFonts w:cstheme="minorHAnsi"/>
                <w:color w:val="244061" w:themeColor="accent1" w:themeShade="80"/>
              </w:rPr>
              <w:t xml:space="preserve">of the pupil </w:t>
            </w:r>
            <w:r w:rsidRPr="004269F9">
              <w:rPr>
                <w:rFonts w:cstheme="minorHAnsi"/>
                <w:color w:val="244061" w:themeColor="accent1" w:themeShade="80"/>
              </w:rPr>
              <w:t>w</w:t>
            </w:r>
            <w:r w:rsidR="00301DD1" w:rsidRPr="004269F9">
              <w:rPr>
                <w:rFonts w:cstheme="minorHAnsi"/>
                <w:color w:val="244061" w:themeColor="accent1" w:themeShade="80"/>
              </w:rPr>
              <w:t>hich includes Forename, Midname and</w:t>
            </w:r>
            <w:r w:rsidRPr="004269F9">
              <w:rPr>
                <w:rFonts w:cstheme="minorHAnsi"/>
                <w:color w:val="244061" w:themeColor="accent1" w:themeShade="80"/>
              </w:rPr>
              <w:t xml:space="preserve"> Surname</w:t>
            </w:r>
          </w:p>
          <w:p w:rsidR="00390074" w:rsidRDefault="00390074" w:rsidP="00390074">
            <w:pPr>
              <w:pStyle w:val="ListParagraph"/>
              <w:numPr>
                <w:ilvl w:val="0"/>
                <w:numId w:val="36"/>
              </w:numPr>
              <w:rPr>
                <w:rFonts w:cstheme="minorHAnsi"/>
                <w:color w:val="244061" w:themeColor="accent1" w:themeShade="80"/>
              </w:rPr>
            </w:pPr>
            <w:r w:rsidRPr="004269F9">
              <w:rPr>
                <w:rFonts w:cstheme="minorHAnsi"/>
                <w:color w:val="244061" w:themeColor="accent1" w:themeShade="80"/>
              </w:rPr>
              <w:t xml:space="preserve">Address information of the </w:t>
            </w:r>
            <w:r w:rsidR="005A2F18">
              <w:rPr>
                <w:rFonts w:cstheme="minorHAnsi"/>
                <w:color w:val="244061" w:themeColor="accent1" w:themeShade="80"/>
              </w:rPr>
              <w:t>pupil</w:t>
            </w:r>
          </w:p>
          <w:p w:rsidR="00E116CE" w:rsidRPr="004269F9" w:rsidRDefault="00E116CE" w:rsidP="00390074">
            <w:pPr>
              <w:pStyle w:val="ListParagraph"/>
              <w:numPr>
                <w:ilvl w:val="0"/>
                <w:numId w:val="36"/>
              </w:numPr>
              <w:rPr>
                <w:rFonts w:cstheme="minorHAnsi"/>
                <w:color w:val="244061" w:themeColor="accent1" w:themeShade="80"/>
              </w:rPr>
            </w:pPr>
            <w:r>
              <w:rPr>
                <w:rFonts w:cstheme="minorHAnsi"/>
                <w:color w:val="244061" w:themeColor="accent1" w:themeShade="80"/>
              </w:rPr>
              <w:t>Address information of the school which the pupil attends</w:t>
            </w:r>
          </w:p>
          <w:p w:rsidR="00390074" w:rsidRPr="004269F9" w:rsidRDefault="00390074" w:rsidP="00390074">
            <w:pPr>
              <w:pStyle w:val="ListParagraph"/>
              <w:numPr>
                <w:ilvl w:val="0"/>
                <w:numId w:val="36"/>
              </w:numPr>
              <w:rPr>
                <w:rFonts w:cstheme="minorHAnsi"/>
                <w:color w:val="244061" w:themeColor="accent1" w:themeShade="80"/>
              </w:rPr>
            </w:pPr>
            <w:r w:rsidRPr="004269F9">
              <w:rPr>
                <w:rFonts w:cstheme="minorHAnsi"/>
                <w:color w:val="244061" w:themeColor="accent1" w:themeShade="80"/>
              </w:rPr>
              <w:t>Gender</w:t>
            </w:r>
          </w:p>
          <w:p w:rsidR="00443A9A" w:rsidRPr="00E116CE" w:rsidRDefault="00390074" w:rsidP="00A67D96">
            <w:pPr>
              <w:pStyle w:val="ListParagraph"/>
              <w:numPr>
                <w:ilvl w:val="0"/>
                <w:numId w:val="36"/>
              </w:numPr>
              <w:tabs>
                <w:tab w:val="center" w:pos="4513"/>
                <w:tab w:val="right" w:pos="9026"/>
              </w:tabs>
              <w:rPr>
                <w:rFonts w:cstheme="minorHAnsi"/>
                <w:color w:val="244061" w:themeColor="accent1" w:themeShade="80"/>
              </w:rPr>
            </w:pPr>
            <w:r w:rsidRPr="00E116CE">
              <w:rPr>
                <w:rFonts w:cstheme="minorHAnsi"/>
                <w:color w:val="244061" w:themeColor="accent1" w:themeShade="80"/>
              </w:rPr>
              <w:t>Date of birth</w:t>
            </w:r>
          </w:p>
          <w:p w:rsidR="0051739E" w:rsidRPr="004F1B13" w:rsidRDefault="0051739E" w:rsidP="003470AC">
            <w:pPr>
              <w:rPr>
                <w:rFonts w:cstheme="minorHAnsi"/>
                <w:color w:val="244061" w:themeColor="accent1" w:themeShade="80"/>
              </w:rPr>
            </w:pPr>
          </w:p>
        </w:tc>
      </w:tr>
      <w:tr w:rsidR="00F73199" w:rsidRPr="004F1B13" w:rsidTr="004F1B13">
        <w:tc>
          <w:tcPr>
            <w:tcW w:w="10598" w:type="dxa"/>
            <w:gridSpan w:val="2"/>
            <w:shd w:val="clear" w:color="auto" w:fill="CCC0D9" w:themeFill="accent4" w:themeFillTint="66"/>
          </w:tcPr>
          <w:p w:rsidR="00F73199" w:rsidRPr="004F1B13" w:rsidRDefault="00EB02E4" w:rsidP="00C814AB">
            <w:pPr>
              <w:rPr>
                <w:rFonts w:cstheme="minorHAnsi"/>
                <w:b/>
                <w:color w:val="244061" w:themeColor="accent1" w:themeShade="80"/>
              </w:rPr>
            </w:pPr>
            <w:r>
              <w:rPr>
                <w:rFonts w:cstheme="minorHAnsi"/>
                <w:b/>
                <w:color w:val="244061" w:themeColor="accent1" w:themeShade="80"/>
              </w:rPr>
              <w:t>D</w:t>
            </w:r>
            <w:r w:rsidR="00C814AB">
              <w:rPr>
                <w:rFonts w:cstheme="minorHAnsi"/>
                <w:b/>
                <w:color w:val="244061" w:themeColor="accent1" w:themeShade="80"/>
              </w:rPr>
              <w:t>ATA</w:t>
            </w:r>
            <w:r w:rsidR="00C04EBF">
              <w:rPr>
                <w:rFonts w:cstheme="minorHAnsi"/>
                <w:b/>
                <w:color w:val="244061" w:themeColor="accent1" w:themeShade="80"/>
              </w:rPr>
              <w:t xml:space="preserve"> QUALITY &amp; PRE-PROCESSING</w:t>
            </w:r>
          </w:p>
        </w:tc>
      </w:tr>
      <w:tr w:rsidR="00F73199" w:rsidRPr="004F1B13" w:rsidTr="004F1B13">
        <w:trPr>
          <w:trHeight w:val="1692"/>
        </w:trPr>
        <w:tc>
          <w:tcPr>
            <w:tcW w:w="10598" w:type="dxa"/>
            <w:gridSpan w:val="2"/>
          </w:tcPr>
          <w:p w:rsidR="001173F3" w:rsidRDefault="001173F3" w:rsidP="001173F3">
            <w:pPr>
              <w:rPr>
                <w:rFonts w:cstheme="minorHAnsi"/>
                <w:color w:val="244061" w:themeColor="accent1" w:themeShade="80"/>
              </w:rPr>
            </w:pPr>
          </w:p>
          <w:p w:rsidR="00B475AC" w:rsidRDefault="00B475AC" w:rsidP="001173F3">
            <w:pPr>
              <w:rPr>
                <w:rFonts w:cstheme="minorHAnsi"/>
                <w:color w:val="244061" w:themeColor="accent1" w:themeShade="80"/>
              </w:rPr>
            </w:pPr>
            <w:r>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r w:rsidR="00A9690C">
              <w:rPr>
                <w:rFonts w:cstheme="minorHAnsi"/>
                <w:color w:val="244061" w:themeColor="accent1" w:themeShade="80"/>
              </w:rPr>
              <w:t>.</w:t>
            </w:r>
          </w:p>
          <w:p w:rsidR="000F6D87" w:rsidRDefault="000F6D87" w:rsidP="001173F3">
            <w:pPr>
              <w:rPr>
                <w:rFonts w:cstheme="minorHAnsi"/>
                <w:color w:val="244061" w:themeColor="accent1" w:themeShade="80"/>
              </w:rPr>
            </w:pPr>
          </w:p>
          <w:p w:rsidR="000F6D87" w:rsidRDefault="000F6D87" w:rsidP="001173F3">
            <w:pPr>
              <w:rPr>
                <w:rFonts w:cstheme="minorHAnsi"/>
                <w:color w:val="244061" w:themeColor="accent1" w:themeShade="80"/>
              </w:rPr>
            </w:pPr>
            <w:r>
              <w:rPr>
                <w:rFonts w:cstheme="minorHAnsi"/>
                <w:b/>
                <w:color w:val="244061" w:themeColor="accent1" w:themeShade="80"/>
              </w:rPr>
              <w:t xml:space="preserve">UPN – </w:t>
            </w:r>
            <w:r w:rsidR="00A1010A">
              <w:rPr>
                <w:rFonts w:cstheme="minorHAnsi"/>
                <w:color w:val="244061" w:themeColor="accent1" w:themeShade="80"/>
              </w:rPr>
              <w:t xml:space="preserve">The Unique Pupil Number is used to link students across </w:t>
            </w:r>
            <w:r w:rsidR="00E70A37">
              <w:rPr>
                <w:rFonts w:cstheme="minorHAnsi"/>
                <w:color w:val="244061" w:themeColor="accent1" w:themeShade="80"/>
              </w:rPr>
              <w:t xml:space="preserve">multiple </w:t>
            </w:r>
            <w:r w:rsidR="00A1010A">
              <w:rPr>
                <w:rFonts w:cstheme="minorHAnsi"/>
                <w:color w:val="244061" w:themeColor="accent1" w:themeShade="80"/>
              </w:rPr>
              <w:t>academic years. The c</w:t>
            </w:r>
            <w:r w:rsidR="00F1546D" w:rsidRPr="00F1546D">
              <w:rPr>
                <w:rFonts w:cstheme="minorHAnsi"/>
                <w:color w:val="244061" w:themeColor="accent1" w:themeShade="80"/>
              </w:rPr>
              <w:t>ollection of this</w:t>
            </w:r>
            <w:r w:rsidR="00F1546D">
              <w:rPr>
                <w:rFonts w:cstheme="minorHAnsi"/>
                <w:color w:val="244061" w:themeColor="accent1" w:themeShade="80"/>
              </w:rPr>
              <w:t xml:space="preserve"> information was introduced in 2007 and therefore will not be available for any year prior to this.</w:t>
            </w:r>
            <w:r w:rsidR="00AD7A13">
              <w:rPr>
                <w:rFonts w:cstheme="minorHAnsi"/>
                <w:color w:val="244061" w:themeColor="accent1" w:themeShade="80"/>
              </w:rPr>
              <w:t xml:space="preserve"> The coverage </w:t>
            </w:r>
            <w:r w:rsidR="00A1010A">
              <w:rPr>
                <w:rFonts w:cstheme="minorHAnsi"/>
                <w:color w:val="244061" w:themeColor="accent1" w:themeShade="80"/>
              </w:rPr>
              <w:t xml:space="preserve">is </w:t>
            </w:r>
            <w:r w:rsidR="00AD7A13">
              <w:rPr>
                <w:rFonts w:cstheme="minorHAnsi"/>
                <w:color w:val="244061" w:themeColor="accent1" w:themeShade="80"/>
              </w:rPr>
              <w:t xml:space="preserve">generally very high, however, it should be noted that in 2007, 2008, 2009 and 2011 there were a small number of records </w:t>
            </w:r>
            <w:r w:rsidR="00E161A8">
              <w:rPr>
                <w:rFonts w:cstheme="minorHAnsi"/>
                <w:color w:val="244061" w:themeColor="accent1" w:themeShade="80"/>
              </w:rPr>
              <w:t xml:space="preserve">with </w:t>
            </w:r>
            <w:r w:rsidR="00AD7A13">
              <w:rPr>
                <w:rFonts w:cstheme="minorHAnsi"/>
                <w:color w:val="244061" w:themeColor="accent1" w:themeShade="80"/>
              </w:rPr>
              <w:t>missing UPN (on average 0.06%). De</w:t>
            </w:r>
            <w:r w:rsidR="00744146">
              <w:rPr>
                <w:rFonts w:cstheme="minorHAnsi"/>
                <w:color w:val="244061" w:themeColor="accent1" w:themeShade="80"/>
              </w:rPr>
              <w:t>partment of Education</w:t>
            </w:r>
            <w:r w:rsidR="00AD7A13">
              <w:rPr>
                <w:rFonts w:cstheme="minorHAnsi"/>
                <w:color w:val="244061" w:themeColor="accent1" w:themeShade="80"/>
              </w:rPr>
              <w:t xml:space="preserve"> have attributed this to the late installation of SIMS in new schools at the time of the Census resulting in pupils in those schools being assigned a UPN later in the </w:t>
            </w:r>
            <w:r w:rsidR="00744146">
              <w:rPr>
                <w:rFonts w:cstheme="minorHAnsi"/>
                <w:color w:val="244061" w:themeColor="accent1" w:themeShade="80"/>
              </w:rPr>
              <w:t xml:space="preserve">academic </w:t>
            </w:r>
            <w:r w:rsidR="00AD7A13">
              <w:rPr>
                <w:rFonts w:cstheme="minorHAnsi"/>
                <w:color w:val="244061" w:themeColor="accent1" w:themeShade="80"/>
              </w:rPr>
              <w:t>year.</w:t>
            </w:r>
          </w:p>
          <w:p w:rsidR="00CD3EC5" w:rsidRDefault="00CD3EC5" w:rsidP="001173F3">
            <w:pPr>
              <w:rPr>
                <w:rFonts w:cstheme="minorHAnsi"/>
                <w:color w:val="244061" w:themeColor="accent1" w:themeShade="80"/>
              </w:rPr>
            </w:pPr>
          </w:p>
          <w:p w:rsidR="006F0FE4" w:rsidRDefault="006F0FE4" w:rsidP="001173F3">
            <w:pPr>
              <w:rPr>
                <w:rFonts w:cstheme="minorHAnsi"/>
                <w:color w:val="244061" w:themeColor="accent1" w:themeShade="80"/>
              </w:rPr>
            </w:pPr>
            <w:r w:rsidRPr="006F0FE4">
              <w:rPr>
                <w:rFonts w:cstheme="minorHAnsi"/>
                <w:b/>
                <w:color w:val="244061" w:themeColor="accent1" w:themeShade="80"/>
              </w:rPr>
              <w:t xml:space="preserve">NAME INFORMATION- </w:t>
            </w:r>
            <w:r w:rsidR="00B22AF7">
              <w:rPr>
                <w:rFonts w:cstheme="minorHAnsi"/>
                <w:color w:val="244061" w:themeColor="accent1" w:themeShade="80"/>
              </w:rPr>
              <w:t>Name</w:t>
            </w:r>
            <w:r w:rsidR="00DB2F1D">
              <w:rPr>
                <w:rFonts w:cstheme="minorHAnsi"/>
                <w:color w:val="244061" w:themeColor="accent1" w:themeShade="80"/>
              </w:rPr>
              <w:t xml:space="preserve"> information is not available for pupils in academic years 2006/07, 2007/08 and 2008/09. It is available for academic years 2009/10, 2010/11, 2011/12 and 2012/13 wit</w:t>
            </w:r>
            <w:r w:rsidR="00B22AF7">
              <w:rPr>
                <w:rFonts w:cstheme="minorHAnsi"/>
                <w:color w:val="244061" w:themeColor="accent1" w:themeShade="80"/>
              </w:rPr>
              <w:t xml:space="preserve">h an average coverage of 96.8% and </w:t>
            </w:r>
            <w:r w:rsidR="00DB2F1D">
              <w:rPr>
                <w:rFonts w:cstheme="minorHAnsi"/>
                <w:color w:val="244061" w:themeColor="accent1" w:themeShade="80"/>
              </w:rPr>
              <w:t>is fully populated for academic year 2013/14.</w:t>
            </w:r>
            <w:r w:rsidR="00B22AF7">
              <w:rPr>
                <w:rFonts w:cstheme="minorHAnsi"/>
                <w:color w:val="244061" w:themeColor="accent1" w:themeShade="80"/>
              </w:rPr>
              <w:t xml:space="preserve"> Midname information is provided where appropriate.</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922558">
              <w:rPr>
                <w:rFonts w:cstheme="minorHAnsi"/>
                <w:b/>
                <w:color w:val="244061" w:themeColor="accent1" w:themeShade="80"/>
              </w:rPr>
              <w:t xml:space="preserve">- </w:t>
            </w:r>
            <w:r w:rsidRPr="006D2183">
              <w:rPr>
                <w:rFonts w:cstheme="minorHAnsi"/>
                <w:color w:val="244061" w:themeColor="accent1" w:themeShade="80"/>
              </w:rPr>
              <w:t>In some</w:t>
            </w:r>
            <w:r>
              <w:rPr>
                <w:rFonts w:cstheme="minorHAnsi"/>
                <w:b/>
                <w:color w:val="244061" w:themeColor="accent1" w:themeShade="80"/>
              </w:rPr>
              <w:t xml:space="preserve"> </w:t>
            </w:r>
            <w:r w:rsidRPr="006D2183">
              <w:rPr>
                <w:rFonts w:cstheme="minorHAnsi"/>
                <w:color w:val="244061" w:themeColor="accent1" w:themeShade="80"/>
              </w:rPr>
              <w:t>instances</w:t>
            </w:r>
            <w:r>
              <w:rPr>
                <w:rFonts w:cstheme="minorHAnsi"/>
                <w:color w:val="244061" w:themeColor="accent1" w:themeShade="80"/>
              </w:rPr>
              <w:t xml:space="preserve"> multiple names will be recorded as the Forename. </w:t>
            </w:r>
            <w:r w:rsidRPr="00922558">
              <w:rPr>
                <w:rFonts w:cstheme="minorHAnsi"/>
                <w:color w:val="244061" w:themeColor="accent1" w:themeShade="80"/>
              </w:rPr>
              <w:t xml:space="preserve">This can be </w:t>
            </w:r>
            <w:r>
              <w:rPr>
                <w:rFonts w:cstheme="minorHAnsi"/>
                <w:color w:val="244061" w:themeColor="accent1" w:themeShade="80"/>
              </w:rPr>
              <w:t>edited</w:t>
            </w:r>
            <w:r w:rsidRPr="00922558">
              <w:rPr>
                <w:rFonts w:cstheme="minorHAnsi"/>
                <w:color w:val="244061" w:themeColor="accent1" w:themeShade="80"/>
              </w:rPr>
              <w:t xml:space="preserve"> to leave the first name that appears</w:t>
            </w:r>
            <w:r>
              <w:rPr>
                <w:rFonts w:cstheme="minorHAnsi"/>
                <w:color w:val="244061" w:themeColor="accent1" w:themeShade="80"/>
              </w:rPr>
              <w:t xml:space="preserve"> as the Forename</w:t>
            </w:r>
            <w:r w:rsidRPr="00922558">
              <w:rPr>
                <w:rFonts w:cstheme="minorHAnsi"/>
                <w:color w:val="244061" w:themeColor="accent1" w:themeShade="80"/>
              </w:rPr>
              <w:t xml:space="preserve"> and any additional names </w:t>
            </w:r>
            <w:r>
              <w:rPr>
                <w:rFonts w:cstheme="minorHAnsi"/>
                <w:color w:val="244061" w:themeColor="accent1" w:themeShade="80"/>
              </w:rPr>
              <w:t>as the Midname;</w:t>
            </w:r>
          </w:p>
          <w:p w:rsidR="00C04EBF" w:rsidRDefault="00C04EBF" w:rsidP="00C04EBF">
            <w:pPr>
              <w:rPr>
                <w:rFonts w:cstheme="minorHAnsi"/>
                <w:color w:val="244061" w:themeColor="accent1" w:themeShade="80"/>
              </w:rPr>
            </w:pPr>
            <w:r>
              <w:rPr>
                <w:rFonts w:cstheme="minorHAnsi"/>
                <w:color w:val="244061" w:themeColor="accent1" w:themeShade="80"/>
              </w:rPr>
              <w:t xml:space="preserve">- Punctuation and characters which do not appear in the English alphabet (e.g. </w:t>
            </w:r>
            <w:proofErr w:type="gramStart"/>
            <w:r>
              <w:rPr>
                <w:rFonts w:cstheme="minorHAnsi"/>
                <w:color w:val="244061" w:themeColor="accent1" w:themeShade="80"/>
              </w:rPr>
              <w:t>Á ,</w:t>
            </w:r>
            <w:proofErr w:type="gramEnd"/>
            <w:r>
              <w:rPr>
                <w:rFonts w:cstheme="minorHAnsi"/>
                <w:color w:val="244061" w:themeColor="accent1" w:themeShade="80"/>
              </w:rPr>
              <w:t xml:space="preserve"> %, $ ...) can also appear in the name information. A function can </w:t>
            </w:r>
            <w:r w:rsidR="00890B55">
              <w:rPr>
                <w:rFonts w:cstheme="minorHAnsi"/>
                <w:color w:val="244061" w:themeColor="accent1" w:themeShade="80"/>
              </w:rPr>
              <w:t xml:space="preserve">be used to replace these with </w:t>
            </w:r>
            <w:r>
              <w:rPr>
                <w:rFonts w:cstheme="minorHAnsi"/>
                <w:color w:val="244061" w:themeColor="accent1" w:themeShade="80"/>
              </w:rPr>
              <w:t>usable character</w:t>
            </w:r>
            <w:r w:rsidR="00890B55">
              <w:rPr>
                <w:rFonts w:cstheme="minorHAnsi"/>
                <w:color w:val="244061" w:themeColor="accent1" w:themeShade="80"/>
              </w:rPr>
              <w:t>s</w:t>
            </w:r>
            <w:r>
              <w:rPr>
                <w:rFonts w:cstheme="minorHAnsi"/>
                <w:color w:val="244061" w:themeColor="accent1" w:themeShade="80"/>
              </w:rPr>
              <w:t>;</w:t>
            </w:r>
          </w:p>
          <w:p w:rsidR="003644F4" w:rsidRDefault="003644F4" w:rsidP="001173F3">
            <w:pPr>
              <w:rPr>
                <w:rFonts w:cstheme="minorHAnsi"/>
                <w:color w:val="244061" w:themeColor="accent1" w:themeShade="80"/>
              </w:rPr>
            </w:pPr>
          </w:p>
          <w:p w:rsidR="0082633E" w:rsidRPr="00491E70" w:rsidRDefault="003644F4" w:rsidP="001173F3">
            <w:pPr>
              <w:rPr>
                <w:rFonts w:cstheme="minorHAnsi"/>
                <w:color w:val="244061" w:themeColor="accent1" w:themeShade="80"/>
              </w:rPr>
            </w:pPr>
            <w:r w:rsidRPr="00491E70">
              <w:rPr>
                <w:rFonts w:cstheme="minorHAnsi"/>
                <w:b/>
                <w:color w:val="244061" w:themeColor="accent1" w:themeShade="80"/>
              </w:rPr>
              <w:t>ADDRESS INFORMATION</w:t>
            </w:r>
            <w:r w:rsidR="00E116CE">
              <w:rPr>
                <w:rFonts w:cstheme="minorHAnsi"/>
                <w:b/>
                <w:color w:val="244061" w:themeColor="accent1" w:themeShade="80"/>
              </w:rPr>
              <w:t xml:space="preserve"> OF THE PUPIL</w:t>
            </w:r>
            <w:r w:rsidRPr="00491E70">
              <w:rPr>
                <w:rFonts w:cstheme="minorHAnsi"/>
                <w:b/>
                <w:color w:val="244061" w:themeColor="accent1" w:themeShade="80"/>
              </w:rPr>
              <w:t xml:space="preserve">- </w:t>
            </w:r>
            <w:r w:rsidR="005A2F18">
              <w:rPr>
                <w:rFonts w:cstheme="minorHAnsi"/>
                <w:color w:val="244061" w:themeColor="accent1" w:themeShade="80"/>
              </w:rPr>
              <w:t>In total 8% of pupils have a home postcode which is outside Northern Ireland, incomplete or missing.</w:t>
            </w:r>
          </w:p>
          <w:p w:rsidR="00C04EBF" w:rsidRPr="00491E70"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491E70">
              <w:rPr>
                <w:rFonts w:cstheme="minorHAnsi"/>
                <w:color w:val="244061" w:themeColor="accent1" w:themeShade="80"/>
              </w:rPr>
              <w:t>- Postcode information is standardised prior to linkage.</w:t>
            </w:r>
          </w:p>
          <w:p w:rsidR="00E116CE" w:rsidRDefault="00E116CE" w:rsidP="00C04EBF">
            <w:pPr>
              <w:rPr>
                <w:rFonts w:cstheme="minorHAnsi"/>
                <w:color w:val="244061" w:themeColor="accent1" w:themeShade="80"/>
              </w:rPr>
            </w:pPr>
          </w:p>
          <w:p w:rsidR="00E116CE" w:rsidRPr="00491E70" w:rsidRDefault="00E116CE" w:rsidP="00E116CE">
            <w:pPr>
              <w:rPr>
                <w:rFonts w:cstheme="minorHAnsi"/>
                <w:color w:val="244061" w:themeColor="accent1" w:themeShade="80"/>
              </w:rPr>
            </w:pPr>
            <w:r w:rsidRPr="00491E70">
              <w:rPr>
                <w:rFonts w:cstheme="minorHAnsi"/>
                <w:b/>
                <w:color w:val="244061" w:themeColor="accent1" w:themeShade="80"/>
              </w:rPr>
              <w:t>ADDRESS INFORMATION</w:t>
            </w:r>
            <w:r>
              <w:rPr>
                <w:rFonts w:cstheme="minorHAnsi"/>
                <w:b/>
                <w:color w:val="244061" w:themeColor="accent1" w:themeShade="80"/>
              </w:rPr>
              <w:t xml:space="preserve"> OF THE SCHOOL WHICH THE PUPIL ATTENDS</w:t>
            </w:r>
            <w:r w:rsidRPr="00491E70">
              <w:rPr>
                <w:rFonts w:cstheme="minorHAnsi"/>
                <w:b/>
                <w:color w:val="244061" w:themeColor="accent1" w:themeShade="80"/>
              </w:rPr>
              <w:t xml:space="preserve">- </w:t>
            </w:r>
            <w:r>
              <w:rPr>
                <w:rFonts w:cstheme="minorHAnsi"/>
                <w:color w:val="244061" w:themeColor="accent1" w:themeShade="80"/>
              </w:rPr>
              <w:t>All records have address and postcode of the school which the pupil attends</w:t>
            </w:r>
          </w:p>
          <w:p w:rsidR="00E116CE" w:rsidRPr="00491E70" w:rsidRDefault="00E116CE" w:rsidP="00E116CE">
            <w:pPr>
              <w:rPr>
                <w:rFonts w:cstheme="minorHAnsi"/>
                <w:color w:val="244061" w:themeColor="accent1" w:themeShade="80"/>
              </w:rPr>
            </w:pPr>
          </w:p>
          <w:p w:rsidR="00E116CE" w:rsidRDefault="00E116CE" w:rsidP="00C04EBF">
            <w:pPr>
              <w:rPr>
                <w:rFonts w:cstheme="minorHAnsi"/>
                <w:color w:val="244061" w:themeColor="accent1" w:themeShade="80"/>
              </w:rPr>
            </w:pPr>
            <w:r w:rsidRPr="00491E70">
              <w:rPr>
                <w:rFonts w:cstheme="minorHAnsi"/>
                <w:color w:val="244061" w:themeColor="accent1" w:themeShade="80"/>
              </w:rPr>
              <w:t>- Postcode information is standardised prior to linkage.</w:t>
            </w:r>
          </w:p>
          <w:p w:rsidR="003644F4" w:rsidRDefault="003644F4" w:rsidP="001173F3">
            <w:pPr>
              <w:rPr>
                <w:rFonts w:cstheme="minorHAnsi"/>
                <w:color w:val="244061" w:themeColor="accent1" w:themeShade="80"/>
              </w:rPr>
            </w:pPr>
          </w:p>
          <w:p w:rsidR="003644F4" w:rsidRDefault="003644F4" w:rsidP="001173F3">
            <w:pPr>
              <w:rPr>
                <w:rFonts w:cstheme="minorHAnsi"/>
                <w:color w:val="244061" w:themeColor="accent1" w:themeShade="80"/>
              </w:rPr>
            </w:pPr>
            <w:r w:rsidRPr="003644F4">
              <w:rPr>
                <w:rFonts w:cstheme="minorHAnsi"/>
                <w:b/>
                <w:color w:val="244061" w:themeColor="accent1" w:themeShade="80"/>
              </w:rPr>
              <w:t xml:space="preserve">GENDER- </w:t>
            </w:r>
            <w:r>
              <w:rPr>
                <w:rFonts w:cstheme="minorHAnsi"/>
                <w:color w:val="244061" w:themeColor="accent1" w:themeShade="80"/>
              </w:rPr>
              <w:t xml:space="preserve">All records contain the </w:t>
            </w:r>
            <w:r w:rsidR="009D344D">
              <w:rPr>
                <w:rFonts w:cstheme="minorHAnsi"/>
                <w:color w:val="244061" w:themeColor="accent1" w:themeShade="80"/>
              </w:rPr>
              <w:t>g</w:t>
            </w:r>
            <w:r>
              <w:rPr>
                <w:rFonts w:cstheme="minorHAnsi"/>
                <w:color w:val="244061" w:themeColor="accent1" w:themeShade="80"/>
              </w:rPr>
              <w:t xml:space="preserve">ender of the </w:t>
            </w:r>
            <w:r w:rsidR="002422CE">
              <w:rPr>
                <w:rFonts w:cstheme="minorHAnsi"/>
                <w:color w:val="244061" w:themeColor="accent1" w:themeShade="80"/>
              </w:rPr>
              <w:t>pupil</w:t>
            </w:r>
            <w:r>
              <w:rPr>
                <w:rFonts w:cstheme="minorHAnsi"/>
                <w:color w:val="244061" w:themeColor="accent1" w:themeShade="80"/>
              </w:rPr>
              <w:t>.</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Pr>
                <w:rFonts w:cstheme="minorHAnsi"/>
                <w:color w:val="244061" w:themeColor="accent1" w:themeShade="80"/>
              </w:rPr>
              <w:t>- Gender information should be standardised prior to linkage.</w:t>
            </w:r>
          </w:p>
          <w:p w:rsidR="003644F4" w:rsidRDefault="003644F4" w:rsidP="001173F3">
            <w:pPr>
              <w:rPr>
                <w:rFonts w:cstheme="minorHAnsi"/>
                <w:color w:val="244061" w:themeColor="accent1" w:themeShade="80"/>
              </w:rPr>
            </w:pPr>
          </w:p>
          <w:p w:rsidR="003644F4" w:rsidRDefault="003644F4" w:rsidP="001173F3">
            <w:pPr>
              <w:rPr>
                <w:rFonts w:cstheme="minorHAnsi"/>
                <w:color w:val="244061" w:themeColor="accent1" w:themeShade="80"/>
              </w:rPr>
            </w:pPr>
            <w:r>
              <w:rPr>
                <w:rFonts w:cstheme="minorHAnsi"/>
                <w:b/>
                <w:color w:val="244061" w:themeColor="accent1" w:themeShade="80"/>
              </w:rPr>
              <w:t xml:space="preserve">DATE OF BIRTH- </w:t>
            </w:r>
            <w:r w:rsidR="009E0ED4">
              <w:rPr>
                <w:rFonts w:cstheme="minorHAnsi"/>
                <w:color w:val="244061" w:themeColor="accent1" w:themeShade="80"/>
              </w:rPr>
              <w:t xml:space="preserve">All records contain the Date of Birth of the </w:t>
            </w:r>
            <w:r w:rsidR="002422CE">
              <w:rPr>
                <w:rFonts w:cstheme="minorHAnsi"/>
                <w:color w:val="244061" w:themeColor="accent1" w:themeShade="80"/>
              </w:rPr>
              <w:t>pupil.</w:t>
            </w:r>
          </w:p>
          <w:p w:rsidR="00C04EBF" w:rsidRDefault="00C04EBF" w:rsidP="001173F3">
            <w:pPr>
              <w:rPr>
                <w:rFonts w:cstheme="minorHAnsi"/>
                <w:color w:val="244061" w:themeColor="accent1" w:themeShade="80"/>
              </w:rPr>
            </w:pPr>
          </w:p>
          <w:p w:rsidR="00C04EBF" w:rsidRDefault="002422CE" w:rsidP="00C04EBF">
            <w:pPr>
              <w:rPr>
                <w:rFonts w:cstheme="minorHAnsi"/>
                <w:color w:val="244061" w:themeColor="accent1" w:themeShade="80"/>
              </w:rPr>
            </w:pPr>
            <w:r>
              <w:rPr>
                <w:rFonts w:cstheme="minorHAnsi"/>
                <w:color w:val="244061" w:themeColor="accent1" w:themeShade="80"/>
              </w:rPr>
              <w:t xml:space="preserve">- Date of birth </w:t>
            </w:r>
            <w:r w:rsidR="00C04EBF">
              <w:rPr>
                <w:rFonts w:cstheme="minorHAnsi"/>
                <w:color w:val="244061" w:themeColor="accent1" w:themeShade="80"/>
              </w:rPr>
              <w:t>can be parsed to into its constituent parts (day, month and year) prior to linkage</w:t>
            </w:r>
          </w:p>
          <w:p w:rsidR="00911B93" w:rsidRDefault="00911B93" w:rsidP="00C04EBF">
            <w:pPr>
              <w:rPr>
                <w:rFonts w:cstheme="minorHAnsi"/>
                <w:color w:val="244061" w:themeColor="accent1" w:themeShade="80"/>
              </w:rPr>
            </w:pPr>
          </w:p>
          <w:p w:rsidR="00911B93" w:rsidRPr="000A6D10" w:rsidRDefault="00911B93" w:rsidP="00C04EBF">
            <w:pPr>
              <w:rPr>
                <w:rFonts w:cstheme="minorHAnsi"/>
                <w:b/>
                <w:color w:val="244061" w:themeColor="accent1" w:themeShade="80"/>
                <w:u w:val="single"/>
              </w:rPr>
            </w:pPr>
            <w:r w:rsidRPr="000A6D10">
              <w:rPr>
                <w:rFonts w:cstheme="minorHAnsi"/>
                <w:b/>
                <w:color w:val="244061" w:themeColor="accent1" w:themeShade="80"/>
                <w:u w:val="single"/>
              </w:rPr>
              <w:t>DUPLICATES</w:t>
            </w:r>
          </w:p>
          <w:p w:rsidR="00812C70" w:rsidRDefault="00812C70" w:rsidP="00C04EBF">
            <w:pPr>
              <w:rPr>
                <w:rFonts w:cstheme="minorHAnsi"/>
                <w:b/>
                <w:color w:val="244061" w:themeColor="accent1" w:themeShade="80"/>
              </w:rPr>
            </w:pPr>
          </w:p>
          <w:p w:rsidR="00812C70" w:rsidRDefault="00812C70" w:rsidP="00C04EBF">
            <w:pPr>
              <w:rPr>
                <w:rFonts w:cstheme="minorHAnsi"/>
                <w:color w:val="244061" w:themeColor="accent1" w:themeShade="80"/>
              </w:rPr>
            </w:pPr>
            <w:r>
              <w:rPr>
                <w:rFonts w:cstheme="minorHAnsi"/>
                <w:color w:val="244061" w:themeColor="accent1" w:themeShade="80"/>
              </w:rPr>
              <w:t>The school census data detailed above was analysed by the Census Administrative Data team in NISRA. Through their investigations a number of duplicates were identified-</w:t>
            </w:r>
          </w:p>
          <w:p w:rsidR="00812C70" w:rsidRDefault="00812C70" w:rsidP="00C04EBF">
            <w:pPr>
              <w:rPr>
                <w:rFonts w:cstheme="minorHAnsi"/>
                <w:color w:val="244061" w:themeColor="accent1" w:themeShade="80"/>
              </w:rPr>
            </w:pPr>
          </w:p>
          <w:p w:rsidR="00812C70" w:rsidRDefault="00812C70" w:rsidP="00812C70">
            <w:pPr>
              <w:pStyle w:val="ListParagraph"/>
              <w:numPr>
                <w:ilvl w:val="0"/>
                <w:numId w:val="43"/>
              </w:numPr>
              <w:rPr>
                <w:rFonts w:cstheme="minorHAnsi"/>
                <w:color w:val="244061" w:themeColor="accent1" w:themeShade="80"/>
              </w:rPr>
            </w:pPr>
            <w:r>
              <w:rPr>
                <w:rFonts w:cstheme="minorHAnsi"/>
                <w:color w:val="244061" w:themeColor="accent1" w:themeShade="80"/>
              </w:rPr>
              <w:t xml:space="preserve">473 UPNs appeared twice within the same academic year with 17 of these occurring after 2009. </w:t>
            </w:r>
            <w:r w:rsidRPr="00812C70">
              <w:rPr>
                <w:rFonts w:cstheme="minorHAnsi"/>
                <w:color w:val="244061" w:themeColor="accent1" w:themeShade="80"/>
              </w:rPr>
              <w:t>All but one of these</w:t>
            </w:r>
            <w:r>
              <w:rPr>
                <w:rFonts w:cstheme="minorHAnsi"/>
                <w:color w:val="244061" w:themeColor="accent1" w:themeShade="80"/>
              </w:rPr>
              <w:t xml:space="preserve"> 473</w:t>
            </w:r>
            <w:r w:rsidRPr="00812C70">
              <w:rPr>
                <w:rFonts w:cstheme="minorHAnsi"/>
                <w:color w:val="244061" w:themeColor="accent1" w:themeShade="80"/>
              </w:rPr>
              <w:t xml:space="preserve"> related to the same UPN being used for students with different dates of birth</w:t>
            </w:r>
            <w:r>
              <w:rPr>
                <w:rFonts w:cstheme="minorHAnsi"/>
                <w:color w:val="244061" w:themeColor="accent1" w:themeShade="80"/>
              </w:rPr>
              <w:t>. In many cases name information was not available.</w:t>
            </w:r>
          </w:p>
          <w:p w:rsidR="002252A2" w:rsidRPr="00E116CE" w:rsidRDefault="00812C70" w:rsidP="002422CE">
            <w:pPr>
              <w:pStyle w:val="ListParagraph"/>
              <w:numPr>
                <w:ilvl w:val="0"/>
                <w:numId w:val="43"/>
              </w:numPr>
              <w:rPr>
                <w:rFonts w:cstheme="minorHAnsi"/>
                <w:i/>
                <w:color w:val="244061" w:themeColor="accent1" w:themeShade="80"/>
              </w:rPr>
            </w:pPr>
            <w:r w:rsidRPr="00E116CE">
              <w:rPr>
                <w:rFonts w:cstheme="minorHAnsi"/>
                <w:color w:val="244061" w:themeColor="accent1" w:themeShade="80"/>
              </w:rPr>
              <w:t>1585 students were identified who appeared to have been allocated more than one UPN.</w:t>
            </w:r>
            <w:r w:rsidR="000A6D10" w:rsidRPr="00E116CE">
              <w:rPr>
                <w:rFonts w:cstheme="minorHAnsi"/>
                <w:color w:val="244061" w:themeColor="accent1" w:themeShade="80"/>
              </w:rPr>
              <w:t xml:space="preserve"> In some instances this has been caused by a student attending 2 schools within the same academic year.</w:t>
            </w:r>
          </w:p>
          <w:p w:rsidR="002252A2" w:rsidRPr="005E671A" w:rsidRDefault="002252A2" w:rsidP="002422CE">
            <w:pPr>
              <w:rPr>
                <w:rFonts w:cstheme="minorHAnsi"/>
                <w:i/>
                <w:color w:val="244061" w:themeColor="accent1" w:themeShade="80"/>
              </w:rPr>
            </w:pPr>
          </w:p>
        </w:tc>
      </w:tr>
      <w:tr w:rsidR="0008676C" w:rsidRPr="004F1B13" w:rsidTr="004F1B13">
        <w:tc>
          <w:tcPr>
            <w:tcW w:w="10598" w:type="dxa"/>
            <w:gridSpan w:val="2"/>
            <w:tcBorders>
              <w:bottom w:val="single" w:sz="4" w:space="0" w:color="auto"/>
            </w:tcBorders>
            <w:shd w:val="clear" w:color="auto" w:fill="B8CCE4" w:themeFill="accent1" w:themeFillTint="66"/>
          </w:tcPr>
          <w:p w:rsidR="0008676C" w:rsidRPr="004F1B13" w:rsidRDefault="00EB02E4" w:rsidP="00EB02E4">
            <w:pPr>
              <w:rPr>
                <w:rFonts w:cstheme="minorHAnsi"/>
                <w:b/>
                <w:color w:val="244061" w:themeColor="accent1" w:themeShade="80"/>
              </w:rPr>
            </w:pPr>
            <w:r>
              <w:rPr>
                <w:rFonts w:cstheme="minorHAnsi"/>
                <w:b/>
                <w:color w:val="244061" w:themeColor="accent1" w:themeShade="80"/>
              </w:rPr>
              <w:t>MATCHING METHODS</w:t>
            </w:r>
          </w:p>
        </w:tc>
      </w:tr>
      <w:tr w:rsidR="0089169C" w:rsidRPr="004F1B13" w:rsidTr="004F1B13">
        <w:tc>
          <w:tcPr>
            <w:tcW w:w="10598" w:type="dxa"/>
            <w:gridSpan w:val="2"/>
          </w:tcPr>
          <w:p w:rsidR="00645A05" w:rsidRDefault="00645A05" w:rsidP="003D660D">
            <w:pPr>
              <w:rPr>
                <w:rFonts w:cstheme="minorHAnsi"/>
                <w:color w:val="244061" w:themeColor="accent1" w:themeShade="80"/>
              </w:rPr>
            </w:pPr>
          </w:p>
          <w:p w:rsidR="000F6C31" w:rsidRDefault="001451A0" w:rsidP="003D660D">
            <w:pPr>
              <w:rPr>
                <w:rFonts w:cstheme="minorHAnsi"/>
                <w:color w:val="244061" w:themeColor="accent1" w:themeShade="80"/>
              </w:rPr>
            </w:pPr>
            <w:r>
              <w:rPr>
                <w:rFonts w:cstheme="minorHAnsi"/>
                <w:color w:val="244061" w:themeColor="accent1" w:themeShade="80"/>
              </w:rPr>
              <w:t>Using the demographic information provided the following matching can be undertaken</w:t>
            </w:r>
            <w:r w:rsidR="0081401B">
              <w:rPr>
                <w:rFonts w:cstheme="minorHAnsi"/>
                <w:color w:val="244061" w:themeColor="accent1" w:themeShade="80"/>
              </w:rPr>
              <w:t xml:space="preserve"> </w:t>
            </w:r>
            <w:r>
              <w:rPr>
                <w:rFonts w:cstheme="minorHAnsi"/>
                <w:color w:val="244061" w:themeColor="accent1" w:themeShade="80"/>
              </w:rPr>
              <w:t>-</w:t>
            </w:r>
          </w:p>
          <w:p w:rsidR="001451A0" w:rsidRDefault="001451A0" w:rsidP="003D660D">
            <w:pPr>
              <w:rPr>
                <w:rFonts w:cstheme="minorHAnsi"/>
                <w:color w:val="244061" w:themeColor="accent1" w:themeShade="80"/>
              </w:rPr>
            </w:pPr>
          </w:p>
          <w:p w:rsidR="001451A0" w:rsidRDefault="001451A0" w:rsidP="003D660D">
            <w:pPr>
              <w:rPr>
                <w:rFonts w:cstheme="minorHAnsi"/>
                <w:color w:val="244061" w:themeColor="accent1" w:themeShade="80"/>
              </w:rPr>
            </w:pPr>
            <w:r>
              <w:rPr>
                <w:rFonts w:cstheme="minorHAnsi"/>
                <w:color w:val="244061" w:themeColor="accent1" w:themeShade="80"/>
              </w:rPr>
              <w:t>- Person matching</w:t>
            </w:r>
            <w:r w:rsidR="0081401B">
              <w:rPr>
                <w:rFonts w:cstheme="minorHAnsi"/>
                <w:color w:val="244061" w:themeColor="accent1" w:themeShade="80"/>
              </w:rPr>
              <w:t xml:space="preserve"> </w:t>
            </w:r>
            <w:r w:rsidR="00645713">
              <w:rPr>
                <w:rFonts w:cstheme="minorHAnsi"/>
                <w:color w:val="244061" w:themeColor="accent1" w:themeShade="80"/>
              </w:rPr>
              <w:t>of the pupil for academic years 2009/10 onwards</w:t>
            </w:r>
          </w:p>
          <w:p w:rsidR="00A32A7A" w:rsidRPr="004F1B13" w:rsidRDefault="001451A0" w:rsidP="003D660D">
            <w:pPr>
              <w:rPr>
                <w:rFonts w:cstheme="minorHAnsi"/>
                <w:color w:val="244061" w:themeColor="accent1" w:themeShade="80"/>
                <w:u w:val="single"/>
              </w:rPr>
            </w:pPr>
            <w:r>
              <w:rPr>
                <w:rFonts w:cstheme="minorHAnsi"/>
                <w:color w:val="244061" w:themeColor="accent1" w:themeShade="80"/>
              </w:rPr>
              <w:t>- Address matching</w:t>
            </w:r>
            <w:r w:rsidR="0081401B">
              <w:rPr>
                <w:rFonts w:cstheme="minorHAnsi"/>
                <w:color w:val="244061" w:themeColor="accent1" w:themeShade="80"/>
              </w:rPr>
              <w:t xml:space="preserve"> </w:t>
            </w:r>
            <w:r w:rsidR="00645713">
              <w:rPr>
                <w:rFonts w:cstheme="minorHAnsi"/>
                <w:color w:val="244061" w:themeColor="accent1" w:themeShade="80"/>
              </w:rPr>
              <w:t xml:space="preserve"> of the pupils home address for all academic years</w:t>
            </w:r>
          </w:p>
          <w:p w:rsidR="007E1BF8" w:rsidRDefault="00645A05" w:rsidP="00645A05">
            <w:pPr>
              <w:rPr>
                <w:rFonts w:cstheme="minorHAnsi"/>
                <w:color w:val="244061" w:themeColor="accent1" w:themeShade="80"/>
              </w:rPr>
            </w:pPr>
            <w:r>
              <w:rPr>
                <w:rFonts w:cstheme="minorHAnsi"/>
                <w:color w:val="244061" w:themeColor="accent1" w:themeShade="80"/>
              </w:rPr>
              <w:t>- Address matching  of the school which the pupil attends</w:t>
            </w:r>
          </w:p>
          <w:p w:rsidR="00645A05" w:rsidRDefault="00645A05" w:rsidP="00645A05">
            <w:pPr>
              <w:rPr>
                <w:rFonts w:cstheme="minorHAnsi"/>
                <w:color w:val="244061" w:themeColor="accent1" w:themeShade="80"/>
              </w:rPr>
            </w:pPr>
          </w:p>
          <w:p w:rsidR="00645A05" w:rsidRPr="004F1B13" w:rsidRDefault="00645A05" w:rsidP="00645A05">
            <w:pPr>
              <w:rPr>
                <w:rFonts w:cstheme="minorHAnsi"/>
                <w:color w:val="244061" w:themeColor="accent1" w:themeShade="80"/>
                <w:u w:val="single"/>
              </w:rPr>
            </w:pPr>
          </w:p>
        </w:tc>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EB02E4" w:rsidP="00EB02E4">
            <w:pPr>
              <w:rPr>
                <w:rFonts w:cstheme="minorHAnsi"/>
                <w:b/>
                <w:color w:val="244061" w:themeColor="accent1" w:themeShade="80"/>
              </w:rPr>
            </w:pPr>
            <w:r>
              <w:rPr>
                <w:rFonts w:cstheme="minorHAnsi"/>
                <w:b/>
                <w:color w:val="244061" w:themeColor="accent1" w:themeShade="80"/>
              </w:rPr>
              <w:lastRenderedPageBreak/>
              <w:t>PREVIOUS LINKAGE MATCH RATES</w:t>
            </w:r>
          </w:p>
        </w:tc>
      </w:tr>
      <w:tr w:rsidR="00E8367E" w:rsidRPr="004F1B13" w:rsidTr="004F1B13">
        <w:trPr>
          <w:trHeight w:val="132"/>
        </w:trPr>
        <w:tc>
          <w:tcPr>
            <w:tcW w:w="10598" w:type="dxa"/>
            <w:gridSpan w:val="2"/>
            <w:tcBorders>
              <w:bottom w:val="single" w:sz="4" w:space="0" w:color="auto"/>
            </w:tcBorders>
            <w:shd w:val="clear" w:color="auto" w:fill="auto"/>
          </w:tcPr>
          <w:p w:rsidR="002B2A9D" w:rsidRPr="0081401B" w:rsidRDefault="002B2A9D" w:rsidP="00B83435">
            <w:pPr>
              <w:rPr>
                <w:rFonts w:cstheme="minorHAnsi"/>
                <w:color w:val="244061" w:themeColor="accent1" w:themeShade="80"/>
                <w:highlight w:val="yellow"/>
              </w:rPr>
            </w:pPr>
          </w:p>
          <w:p w:rsidR="004735AA" w:rsidRPr="004D60FC" w:rsidRDefault="004D60FC" w:rsidP="00FF40E5">
            <w:pPr>
              <w:rPr>
                <w:rFonts w:cstheme="minorHAnsi"/>
                <w:color w:val="244061" w:themeColor="accent1" w:themeShade="80"/>
              </w:rPr>
            </w:pPr>
            <w:r w:rsidRPr="004D60FC">
              <w:rPr>
                <w:rFonts w:cstheme="minorHAnsi"/>
                <w:color w:val="244061" w:themeColor="accent1" w:themeShade="80"/>
              </w:rPr>
              <w:t>School Census</w:t>
            </w:r>
            <w:r>
              <w:rPr>
                <w:rFonts w:cstheme="minorHAnsi"/>
                <w:color w:val="244061" w:themeColor="accent1" w:themeShade="80"/>
              </w:rPr>
              <w:t xml:space="preserve"> information</w:t>
            </w:r>
            <w:r w:rsidR="00F45E72">
              <w:rPr>
                <w:rFonts w:cstheme="minorHAnsi"/>
                <w:color w:val="244061" w:themeColor="accent1" w:themeShade="80"/>
              </w:rPr>
              <w:t xml:space="preserve"> for 2009 - 2013</w:t>
            </w:r>
            <w:r>
              <w:rPr>
                <w:rFonts w:cstheme="minorHAnsi"/>
                <w:color w:val="244061" w:themeColor="accent1" w:themeShade="80"/>
              </w:rPr>
              <w:t xml:space="preserve"> has previously been linked to BSO Health Card Registration Data</w:t>
            </w:r>
            <w:r w:rsidR="00F45E72">
              <w:rPr>
                <w:rFonts w:cstheme="minorHAnsi"/>
                <w:color w:val="244061" w:themeColor="accent1" w:themeShade="80"/>
              </w:rPr>
              <w:t xml:space="preserve"> from 2011</w:t>
            </w:r>
            <w:r>
              <w:rPr>
                <w:rFonts w:cstheme="minorHAnsi"/>
                <w:color w:val="244061" w:themeColor="accent1" w:themeShade="80"/>
              </w:rPr>
              <w:t xml:space="preserve"> as part of the Census Administrative Data Project and produced a</w:t>
            </w:r>
            <w:r w:rsidR="00F45E72">
              <w:rPr>
                <w:rFonts w:cstheme="minorHAnsi"/>
                <w:color w:val="244061" w:themeColor="accent1" w:themeShade="80"/>
              </w:rPr>
              <w:t>n adjusted</w:t>
            </w:r>
            <w:r>
              <w:rPr>
                <w:rFonts w:cstheme="minorHAnsi"/>
                <w:color w:val="244061" w:themeColor="accent1" w:themeShade="80"/>
              </w:rPr>
              <w:t xml:space="preserve"> match rate of </w:t>
            </w:r>
            <w:r w:rsidR="00F45E72">
              <w:rPr>
                <w:rFonts w:cstheme="minorHAnsi"/>
                <w:color w:val="244061" w:themeColor="accent1" w:themeShade="80"/>
              </w:rPr>
              <w:t>97</w:t>
            </w:r>
            <w:r w:rsidR="00B80966">
              <w:rPr>
                <w:rFonts w:cstheme="minorHAnsi"/>
                <w:color w:val="244061" w:themeColor="accent1" w:themeShade="80"/>
              </w:rPr>
              <w:t>%</w:t>
            </w:r>
            <w:r>
              <w:rPr>
                <w:rFonts w:cstheme="minorHAnsi"/>
                <w:color w:val="244061" w:themeColor="accent1" w:themeShade="80"/>
              </w:rPr>
              <w:t>. More information can be foun</w:t>
            </w:r>
            <w:r w:rsidR="00B80966">
              <w:rPr>
                <w:rFonts w:cstheme="minorHAnsi"/>
                <w:color w:val="244061" w:themeColor="accent1" w:themeShade="80"/>
              </w:rPr>
              <w:t xml:space="preserve">d at </w:t>
            </w:r>
            <w:hyperlink r:id="rId8" w:history="1">
              <w:r w:rsidR="00B80966" w:rsidRPr="00B80966">
                <w:rPr>
                  <w:rStyle w:val="Hyperlink"/>
                </w:rPr>
                <w:t>The Future Provision of Census of Population Information for Northern Ireland</w:t>
              </w:r>
            </w:hyperlink>
          </w:p>
          <w:p w:rsidR="00E76F94" w:rsidRPr="0081401B" w:rsidRDefault="00E76F94" w:rsidP="00B80966">
            <w:pPr>
              <w:rPr>
                <w:rFonts w:cstheme="minorHAnsi"/>
                <w:i/>
                <w:color w:val="244061" w:themeColor="accent1" w:themeShade="80"/>
                <w:highlight w:val="yellow"/>
              </w:rPr>
            </w:pPr>
          </w:p>
        </w:tc>
        <w:bookmarkStart w:id="0" w:name="_GoBack"/>
        <w:bookmarkEnd w:id="0"/>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FF40E5" w:rsidP="00FF40E5">
            <w:pPr>
              <w:rPr>
                <w:rFonts w:cstheme="minorHAnsi"/>
                <w:b/>
                <w:color w:val="244061" w:themeColor="accent1" w:themeShade="80"/>
              </w:rPr>
            </w:pPr>
            <w:r>
              <w:rPr>
                <w:rFonts w:cstheme="minorHAnsi"/>
                <w:b/>
                <w:color w:val="244061" w:themeColor="accent1" w:themeShade="80"/>
              </w:rPr>
              <w:t>EVALUATION</w:t>
            </w:r>
          </w:p>
        </w:tc>
      </w:tr>
      <w:tr w:rsidR="0089169C" w:rsidRPr="004F1B13" w:rsidTr="004F1B13">
        <w:tc>
          <w:tcPr>
            <w:tcW w:w="10598" w:type="dxa"/>
            <w:gridSpan w:val="2"/>
          </w:tcPr>
          <w:p w:rsidR="009821C7" w:rsidRDefault="009821C7" w:rsidP="000D5E2D">
            <w:pPr>
              <w:rPr>
                <w:rFonts w:cstheme="minorHAnsi"/>
                <w:color w:val="244061" w:themeColor="accent1" w:themeShade="80"/>
              </w:rPr>
            </w:pPr>
          </w:p>
          <w:p w:rsidR="00D51D6D" w:rsidRDefault="00DE45C4" w:rsidP="00DD0704">
            <w:pPr>
              <w:rPr>
                <w:rFonts w:cstheme="minorHAnsi"/>
                <w:color w:val="244061" w:themeColor="accent1" w:themeShade="80"/>
              </w:rPr>
            </w:pPr>
            <w:r w:rsidRPr="009F4B44">
              <w:rPr>
                <w:rFonts w:cstheme="minorHAnsi"/>
                <w:color w:val="244061" w:themeColor="accent1" w:themeShade="80"/>
              </w:rPr>
              <w:t>The</w:t>
            </w:r>
            <w:r w:rsidR="00715D56" w:rsidRPr="009F4B44">
              <w:rPr>
                <w:rFonts w:cstheme="minorHAnsi"/>
                <w:color w:val="244061" w:themeColor="accent1" w:themeShade="80"/>
              </w:rPr>
              <w:t xml:space="preserve"> </w:t>
            </w:r>
            <w:r w:rsidR="007E1BF8" w:rsidRPr="009F4B44">
              <w:rPr>
                <w:rFonts w:cstheme="minorHAnsi"/>
                <w:color w:val="244061" w:themeColor="accent1" w:themeShade="80"/>
              </w:rPr>
              <w:t xml:space="preserve">demographic data from the </w:t>
            </w:r>
            <w:r w:rsidR="009F4B44">
              <w:rPr>
                <w:rFonts w:cstheme="minorHAnsi"/>
                <w:color w:val="244061" w:themeColor="accent1" w:themeShade="80"/>
              </w:rPr>
              <w:t>school census</w:t>
            </w:r>
            <w:r w:rsidR="007E1BF8" w:rsidRPr="009F4B44">
              <w:rPr>
                <w:rFonts w:cstheme="minorHAnsi"/>
                <w:color w:val="244061" w:themeColor="accent1" w:themeShade="80"/>
              </w:rPr>
              <w:t xml:space="preserve"> </w:t>
            </w:r>
            <w:r w:rsidR="00CF39DE">
              <w:rPr>
                <w:rFonts w:cstheme="minorHAnsi"/>
                <w:color w:val="244061" w:themeColor="accent1" w:themeShade="80"/>
              </w:rPr>
              <w:t>is</w:t>
            </w:r>
            <w:r w:rsidR="00715D56" w:rsidRPr="009F4B44">
              <w:rPr>
                <w:rFonts w:cstheme="minorHAnsi"/>
                <w:color w:val="244061" w:themeColor="accent1" w:themeShade="80"/>
              </w:rPr>
              <w:t xml:space="preserve"> </w:t>
            </w:r>
            <w:r w:rsidR="00BA0D49">
              <w:rPr>
                <w:rFonts w:cstheme="minorHAnsi"/>
                <w:color w:val="244061" w:themeColor="accent1" w:themeShade="80"/>
              </w:rPr>
              <w:t xml:space="preserve">generally </w:t>
            </w:r>
            <w:r w:rsidR="00715D56" w:rsidRPr="009F4B44">
              <w:rPr>
                <w:rFonts w:cstheme="minorHAnsi"/>
                <w:color w:val="244061" w:themeColor="accent1" w:themeShade="80"/>
              </w:rPr>
              <w:t xml:space="preserve">of good quality and can be used for </w:t>
            </w:r>
            <w:r w:rsidR="007E1BF8" w:rsidRPr="009F4B44">
              <w:rPr>
                <w:rFonts w:cstheme="minorHAnsi"/>
                <w:color w:val="244061" w:themeColor="accent1" w:themeShade="80"/>
              </w:rPr>
              <w:t xml:space="preserve">matching </w:t>
            </w:r>
            <w:r w:rsidR="00715D56" w:rsidRPr="009F4B44">
              <w:rPr>
                <w:rFonts w:cstheme="minorHAnsi"/>
                <w:color w:val="244061" w:themeColor="accent1" w:themeShade="80"/>
              </w:rPr>
              <w:t>without extensive pre-processing.</w:t>
            </w:r>
            <w:r w:rsidR="00715D56">
              <w:rPr>
                <w:rFonts w:cstheme="minorHAnsi"/>
                <w:color w:val="244061" w:themeColor="accent1" w:themeShade="80"/>
              </w:rPr>
              <w:t xml:space="preserve"> </w:t>
            </w:r>
            <w:r w:rsidR="007E1BF8">
              <w:rPr>
                <w:rFonts w:cstheme="minorHAnsi"/>
                <w:color w:val="244061" w:themeColor="accent1" w:themeShade="80"/>
              </w:rPr>
              <w:t xml:space="preserve">  </w:t>
            </w:r>
          </w:p>
          <w:p w:rsidR="00280FCC" w:rsidRDefault="00280FCC" w:rsidP="00DD0704">
            <w:pPr>
              <w:rPr>
                <w:rFonts w:cstheme="minorHAnsi"/>
                <w:color w:val="244061" w:themeColor="accent1" w:themeShade="80"/>
              </w:rPr>
            </w:pPr>
          </w:p>
          <w:p w:rsidR="00280FCC" w:rsidRDefault="00280FCC" w:rsidP="00280FCC">
            <w:pPr>
              <w:rPr>
                <w:rFonts w:cstheme="minorHAnsi"/>
                <w:color w:val="244061" w:themeColor="accent1" w:themeShade="80"/>
              </w:rPr>
            </w:pPr>
            <w:r>
              <w:rPr>
                <w:rFonts w:cstheme="minorHAnsi"/>
                <w:color w:val="244061" w:themeColor="accent1" w:themeShade="80"/>
              </w:rPr>
              <w:t>It should be noted that when matching to other Northern Ireland specific datasets we will be unable to match a small number of records which relate to students who have a home address outside of Northern Ireland but who attend an educational institute in NI (approximately 0.15%).</w:t>
            </w:r>
          </w:p>
          <w:p w:rsidR="00280FCC" w:rsidRPr="004F1B13" w:rsidRDefault="00280FCC" w:rsidP="00280FCC">
            <w:pPr>
              <w:rPr>
                <w:rFonts w:cstheme="minorHAnsi"/>
                <w:color w:val="244061" w:themeColor="accent1" w:themeShade="80"/>
              </w:rPr>
            </w:pPr>
          </w:p>
        </w:tc>
      </w:tr>
    </w:tbl>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6A663E" w:rsidRDefault="006A663E" w:rsidP="0096108D">
      <w:pPr>
        <w:rPr>
          <w:rFonts w:cstheme="minorHAnsi"/>
          <w:color w:val="244061" w:themeColor="accent1" w:themeShade="80"/>
          <w:sz w:val="20"/>
          <w:szCs w:val="20"/>
        </w:rPr>
      </w:pPr>
    </w:p>
    <w:p w:rsidR="00D72BB9" w:rsidRDefault="00D72BB9" w:rsidP="0096108D">
      <w:pPr>
        <w:rPr>
          <w:rFonts w:cstheme="minorHAnsi"/>
          <w:color w:val="244061" w:themeColor="accent1" w:themeShade="80"/>
          <w:sz w:val="20"/>
          <w:szCs w:val="20"/>
        </w:rPr>
      </w:pPr>
    </w:p>
    <w:p w:rsidR="00D72BB9" w:rsidRDefault="00D72BB9" w:rsidP="0096108D">
      <w:pPr>
        <w:rPr>
          <w:rFonts w:cstheme="minorHAnsi"/>
          <w:color w:val="244061" w:themeColor="accent1" w:themeShade="80"/>
          <w:sz w:val="20"/>
          <w:szCs w:val="20"/>
        </w:rPr>
      </w:pPr>
    </w:p>
    <w:p w:rsidR="00D72BB9" w:rsidRDefault="00D72BB9" w:rsidP="0096108D">
      <w:pPr>
        <w:rPr>
          <w:rFonts w:cstheme="minorHAnsi"/>
          <w:color w:val="244061" w:themeColor="accent1" w:themeShade="80"/>
          <w:sz w:val="20"/>
          <w:szCs w:val="20"/>
        </w:rPr>
      </w:pPr>
    </w:p>
    <w:p w:rsidR="00D72BB9" w:rsidRDefault="00D72BB9" w:rsidP="0096108D">
      <w:pPr>
        <w:rPr>
          <w:rFonts w:cstheme="minorHAnsi"/>
          <w:color w:val="244061" w:themeColor="accent1" w:themeShade="80"/>
          <w:sz w:val="20"/>
          <w:szCs w:val="20"/>
        </w:rPr>
      </w:pPr>
    </w:p>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DIAL,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Amy Dunlop/ Kim Gillespie</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715D56" w:rsidRDefault="005712E8" w:rsidP="003D660D">
            <w:pPr>
              <w:pStyle w:val="BodyText"/>
              <w:spacing w:line="276" w:lineRule="auto"/>
              <w:jc w:val="both"/>
              <w:rPr>
                <w:rFonts w:asciiTheme="minorHAnsi" w:hAnsiTheme="minorHAnsi" w:cstheme="minorHAnsi"/>
                <w:color w:val="FF0000"/>
                <w:szCs w:val="20"/>
              </w:rPr>
            </w:pPr>
            <w:r w:rsidRPr="00715D56">
              <w:rPr>
                <w:rFonts w:asciiTheme="minorHAnsi" w:hAnsiTheme="minorHAnsi" w:cstheme="minorHAnsi"/>
                <w:color w:val="FF0000"/>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Pr="00EF18CC">
              <w:rPr>
                <w:rFonts w:asciiTheme="minorHAnsi" w:hAnsiTheme="minorHAnsi" w:cstheme="minorHAnsi"/>
                <w:color w:val="244061" w:themeColor="accent1" w:themeShade="80"/>
                <w:sz w:val="20"/>
                <w:szCs w:val="20"/>
              </w:rPr>
              <w:t xml:space="preserve">DIAL, </w:t>
            </w:r>
            <w:r w:rsidR="00EF18CC" w:rsidRPr="00EF18CC">
              <w:rPr>
                <w:rFonts w:asciiTheme="minorHAnsi" w:hAnsiTheme="minorHAnsi" w:cstheme="minorHAnsi"/>
                <w:color w:val="244061" w:themeColor="accent1" w:themeShade="80"/>
                <w:sz w:val="20"/>
                <w:szCs w:val="20"/>
              </w:rPr>
              <w:t>26/11/15</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9"/>
      <w:footerReference w:type="default" r:id="rId10"/>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13" w:rsidRDefault="00AD7A13" w:rsidP="00662D18">
      <w:pPr>
        <w:spacing w:after="0" w:line="240" w:lineRule="auto"/>
      </w:pPr>
      <w:r>
        <w:separator/>
      </w:r>
    </w:p>
  </w:endnote>
  <w:endnote w:type="continuationSeparator" w:id="0">
    <w:p w:rsidR="00AD7A13" w:rsidRDefault="00AD7A13"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AD7A13" w:rsidRDefault="00484DFD">
        <w:pPr>
          <w:pStyle w:val="Footer"/>
          <w:pBdr>
            <w:top w:val="single" w:sz="4" w:space="1" w:color="D9D9D9" w:themeColor="background1" w:themeShade="D9"/>
          </w:pBdr>
          <w:jc w:val="right"/>
        </w:pPr>
        <w:fldSimple w:instr=" PAGE   \* MERGEFORMAT ">
          <w:r w:rsidR="00304D1F">
            <w:rPr>
              <w:noProof/>
            </w:rPr>
            <w:t>1</w:t>
          </w:r>
        </w:fldSimple>
        <w:r w:rsidR="00AD7A13">
          <w:t xml:space="preserve"> | </w:t>
        </w:r>
        <w:r w:rsidR="00AD7A13">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13" w:rsidRDefault="00AD7A13" w:rsidP="00662D18">
      <w:pPr>
        <w:spacing w:after="0" w:line="240" w:lineRule="auto"/>
      </w:pPr>
      <w:r>
        <w:separator/>
      </w:r>
    </w:p>
  </w:footnote>
  <w:footnote w:type="continuationSeparator" w:id="0">
    <w:p w:rsidR="00AD7A13" w:rsidRDefault="00AD7A13"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13" w:rsidRDefault="00AD7A13"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844BA9"/>
    <w:multiLevelType w:val="hybridMultilevel"/>
    <w:tmpl w:val="1684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975EC"/>
    <w:multiLevelType w:val="hybridMultilevel"/>
    <w:tmpl w:val="FC9E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9">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nsid w:val="60D22389"/>
    <w:multiLevelType w:val="hybridMultilevel"/>
    <w:tmpl w:val="3AF4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516AF0"/>
    <w:multiLevelType w:val="hybridMultilevel"/>
    <w:tmpl w:val="0FBCF3DC"/>
    <w:lvl w:ilvl="0" w:tplc="1214DE84">
      <w:numFmt w:val="bullet"/>
      <w:lvlText w:val="-"/>
      <w:lvlJc w:val="left"/>
      <w:pPr>
        <w:ind w:left="720" w:hanging="360"/>
      </w:pPr>
      <w:rPr>
        <w:rFonts w:ascii="Calibri" w:eastAsiaTheme="minorHAnsi" w:hAnsi="Calibri"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B65648"/>
    <w:multiLevelType w:val="hybridMultilevel"/>
    <w:tmpl w:val="1CFA0B6A"/>
    <w:lvl w:ilvl="0" w:tplc="08090001">
      <w:start w:val="1"/>
      <w:numFmt w:val="bullet"/>
      <w:lvlText w:val=""/>
      <w:lvlJc w:val="left"/>
      <w:pPr>
        <w:ind w:left="720" w:hanging="360"/>
      </w:pPr>
      <w:rPr>
        <w:rFonts w:ascii="Symbol" w:hAnsi="Symbol" w:hint="default"/>
        <w:b w:val="0"/>
      </w:rPr>
    </w:lvl>
    <w:lvl w:ilvl="1" w:tplc="1214DE84">
      <w:numFmt w:val="bullet"/>
      <w:lvlText w:val="-"/>
      <w:lvlJc w:val="left"/>
      <w:pPr>
        <w:ind w:left="1440" w:hanging="360"/>
      </w:pPr>
      <w:rPr>
        <w:rFonts w:ascii="Calibri" w:eastAsiaTheme="minorHAnsi" w:hAnsi="Calibri" w:cstheme="minorHAns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41"/>
  </w:num>
  <w:num w:numId="4">
    <w:abstractNumId w:val="33"/>
  </w:num>
  <w:num w:numId="5">
    <w:abstractNumId w:val="37"/>
  </w:num>
  <w:num w:numId="6">
    <w:abstractNumId w:val="20"/>
  </w:num>
  <w:num w:numId="7">
    <w:abstractNumId w:val="15"/>
  </w:num>
  <w:num w:numId="8">
    <w:abstractNumId w:val="16"/>
  </w:num>
  <w:num w:numId="9">
    <w:abstractNumId w:val="22"/>
  </w:num>
  <w:num w:numId="10">
    <w:abstractNumId w:val="0"/>
  </w:num>
  <w:num w:numId="11">
    <w:abstractNumId w:val="30"/>
  </w:num>
  <w:num w:numId="12">
    <w:abstractNumId w:val="7"/>
  </w:num>
  <w:num w:numId="13">
    <w:abstractNumId w:val="4"/>
  </w:num>
  <w:num w:numId="14">
    <w:abstractNumId w:val="25"/>
  </w:num>
  <w:num w:numId="15">
    <w:abstractNumId w:val="38"/>
  </w:num>
  <w:num w:numId="16">
    <w:abstractNumId w:val="23"/>
  </w:num>
  <w:num w:numId="17">
    <w:abstractNumId w:val="13"/>
  </w:num>
  <w:num w:numId="18">
    <w:abstractNumId w:val="6"/>
  </w:num>
  <w:num w:numId="19">
    <w:abstractNumId w:val="18"/>
  </w:num>
  <w:num w:numId="20">
    <w:abstractNumId w:val="14"/>
  </w:num>
  <w:num w:numId="21">
    <w:abstractNumId w:val="40"/>
  </w:num>
  <w:num w:numId="22">
    <w:abstractNumId w:val="34"/>
  </w:num>
  <w:num w:numId="23">
    <w:abstractNumId w:val="2"/>
  </w:num>
  <w:num w:numId="24">
    <w:abstractNumId w:val="35"/>
  </w:num>
  <w:num w:numId="25">
    <w:abstractNumId w:val="10"/>
  </w:num>
  <w:num w:numId="26">
    <w:abstractNumId w:val="27"/>
  </w:num>
  <w:num w:numId="27">
    <w:abstractNumId w:val="12"/>
  </w:num>
  <w:num w:numId="28">
    <w:abstractNumId w:val="9"/>
  </w:num>
  <w:num w:numId="29">
    <w:abstractNumId w:val="29"/>
  </w:num>
  <w:num w:numId="30">
    <w:abstractNumId w:val="24"/>
  </w:num>
  <w:num w:numId="31">
    <w:abstractNumId w:val="19"/>
  </w:num>
  <w:num w:numId="32">
    <w:abstractNumId w:val="28"/>
  </w:num>
  <w:num w:numId="33">
    <w:abstractNumId w:val="5"/>
  </w:num>
  <w:num w:numId="34">
    <w:abstractNumId w:val="21"/>
  </w:num>
  <w:num w:numId="35">
    <w:abstractNumId w:val="42"/>
  </w:num>
  <w:num w:numId="36">
    <w:abstractNumId w:val="1"/>
  </w:num>
  <w:num w:numId="37">
    <w:abstractNumId w:val="17"/>
  </w:num>
  <w:num w:numId="38">
    <w:abstractNumId w:val="36"/>
  </w:num>
  <w:num w:numId="39">
    <w:abstractNumId w:val="8"/>
  </w:num>
  <w:num w:numId="40">
    <w:abstractNumId w:val="3"/>
  </w:num>
  <w:num w:numId="41">
    <w:abstractNumId w:val="31"/>
  </w:num>
  <w:num w:numId="42">
    <w:abstractNumId w:val="32"/>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7585">
      <o:colormru v:ext="edit" colors="#ffff3b"/>
    </o:shapedefaults>
  </w:hdrShapeDefaults>
  <w:footnotePr>
    <w:footnote w:id="-1"/>
    <w:footnote w:id="0"/>
  </w:footnotePr>
  <w:endnotePr>
    <w:endnote w:id="-1"/>
    <w:endnote w:id="0"/>
  </w:endnotePr>
  <w:compat/>
  <w:rsids>
    <w:rsidRoot w:val="00662D18"/>
    <w:rsid w:val="00002A11"/>
    <w:rsid w:val="00011392"/>
    <w:rsid w:val="0003392E"/>
    <w:rsid w:val="000362C6"/>
    <w:rsid w:val="0004784F"/>
    <w:rsid w:val="00052ACF"/>
    <w:rsid w:val="00056DF6"/>
    <w:rsid w:val="000613B9"/>
    <w:rsid w:val="00061612"/>
    <w:rsid w:val="00064C67"/>
    <w:rsid w:val="00074C8B"/>
    <w:rsid w:val="00077836"/>
    <w:rsid w:val="0008180B"/>
    <w:rsid w:val="00086518"/>
    <w:rsid w:val="0008676C"/>
    <w:rsid w:val="000935C4"/>
    <w:rsid w:val="00095D52"/>
    <w:rsid w:val="00096400"/>
    <w:rsid w:val="000A04DE"/>
    <w:rsid w:val="000A6D10"/>
    <w:rsid w:val="000A6F31"/>
    <w:rsid w:val="000C1268"/>
    <w:rsid w:val="000C169D"/>
    <w:rsid w:val="000C65B6"/>
    <w:rsid w:val="000C7F30"/>
    <w:rsid w:val="000D031A"/>
    <w:rsid w:val="000D5E2D"/>
    <w:rsid w:val="000F0E1E"/>
    <w:rsid w:val="000F6C31"/>
    <w:rsid w:val="000F6D87"/>
    <w:rsid w:val="0011460C"/>
    <w:rsid w:val="00114B35"/>
    <w:rsid w:val="001173F3"/>
    <w:rsid w:val="00117F07"/>
    <w:rsid w:val="001247B7"/>
    <w:rsid w:val="001349BA"/>
    <w:rsid w:val="00140BE9"/>
    <w:rsid w:val="0014318B"/>
    <w:rsid w:val="001451A0"/>
    <w:rsid w:val="00147BAD"/>
    <w:rsid w:val="0015686E"/>
    <w:rsid w:val="0015759A"/>
    <w:rsid w:val="00174FEB"/>
    <w:rsid w:val="00181388"/>
    <w:rsid w:val="00187895"/>
    <w:rsid w:val="00192B39"/>
    <w:rsid w:val="001941F5"/>
    <w:rsid w:val="001B0887"/>
    <w:rsid w:val="001B2729"/>
    <w:rsid w:val="001C42BC"/>
    <w:rsid w:val="001C64C5"/>
    <w:rsid w:val="001D20F0"/>
    <w:rsid w:val="001E0AF9"/>
    <w:rsid w:val="001E4124"/>
    <w:rsid w:val="001E5AB4"/>
    <w:rsid w:val="001E6773"/>
    <w:rsid w:val="00204A37"/>
    <w:rsid w:val="00207A39"/>
    <w:rsid w:val="00210D48"/>
    <w:rsid w:val="002121AC"/>
    <w:rsid w:val="002134C1"/>
    <w:rsid w:val="00213E2B"/>
    <w:rsid w:val="002171F6"/>
    <w:rsid w:val="002252A2"/>
    <w:rsid w:val="00226CE8"/>
    <w:rsid w:val="00235974"/>
    <w:rsid w:val="002369E8"/>
    <w:rsid w:val="002370D7"/>
    <w:rsid w:val="002422CE"/>
    <w:rsid w:val="0025030D"/>
    <w:rsid w:val="00254F66"/>
    <w:rsid w:val="0025667E"/>
    <w:rsid w:val="00260E68"/>
    <w:rsid w:val="002743C6"/>
    <w:rsid w:val="00275FCF"/>
    <w:rsid w:val="00280FCC"/>
    <w:rsid w:val="00281D1F"/>
    <w:rsid w:val="00281F7E"/>
    <w:rsid w:val="00286FAD"/>
    <w:rsid w:val="00291592"/>
    <w:rsid w:val="00291B7E"/>
    <w:rsid w:val="002932B6"/>
    <w:rsid w:val="00295B2B"/>
    <w:rsid w:val="002A09C7"/>
    <w:rsid w:val="002A0CAF"/>
    <w:rsid w:val="002B0F2A"/>
    <w:rsid w:val="002B2A9D"/>
    <w:rsid w:val="002B798B"/>
    <w:rsid w:val="002C1E73"/>
    <w:rsid w:val="002D01FB"/>
    <w:rsid w:val="002D0DAF"/>
    <w:rsid w:val="002D3C31"/>
    <w:rsid w:val="002E52B7"/>
    <w:rsid w:val="002E7064"/>
    <w:rsid w:val="002F2D6F"/>
    <w:rsid w:val="002F5A40"/>
    <w:rsid w:val="00301DD1"/>
    <w:rsid w:val="00304D1F"/>
    <w:rsid w:val="003260B5"/>
    <w:rsid w:val="003318EB"/>
    <w:rsid w:val="00346837"/>
    <w:rsid w:val="003470AC"/>
    <w:rsid w:val="003644F4"/>
    <w:rsid w:val="00364C1A"/>
    <w:rsid w:val="00372D17"/>
    <w:rsid w:val="00381C19"/>
    <w:rsid w:val="00381DF1"/>
    <w:rsid w:val="00386C3C"/>
    <w:rsid w:val="00390074"/>
    <w:rsid w:val="003B33B9"/>
    <w:rsid w:val="003B40D9"/>
    <w:rsid w:val="003C5156"/>
    <w:rsid w:val="003D660D"/>
    <w:rsid w:val="003F62AE"/>
    <w:rsid w:val="0040797C"/>
    <w:rsid w:val="00414240"/>
    <w:rsid w:val="00416BEC"/>
    <w:rsid w:val="004267EB"/>
    <w:rsid w:val="004269F9"/>
    <w:rsid w:val="00443A9A"/>
    <w:rsid w:val="00445DF0"/>
    <w:rsid w:val="00460785"/>
    <w:rsid w:val="004634F5"/>
    <w:rsid w:val="00464496"/>
    <w:rsid w:val="004735AA"/>
    <w:rsid w:val="00476C25"/>
    <w:rsid w:val="00481E48"/>
    <w:rsid w:val="00482624"/>
    <w:rsid w:val="00482EAF"/>
    <w:rsid w:val="00484278"/>
    <w:rsid w:val="00484BE0"/>
    <w:rsid w:val="00484DFD"/>
    <w:rsid w:val="00486425"/>
    <w:rsid w:val="00490E4D"/>
    <w:rsid w:val="00491E70"/>
    <w:rsid w:val="00494D1C"/>
    <w:rsid w:val="0049500D"/>
    <w:rsid w:val="004A12B5"/>
    <w:rsid w:val="004A784B"/>
    <w:rsid w:val="004B641D"/>
    <w:rsid w:val="004C4664"/>
    <w:rsid w:val="004D035A"/>
    <w:rsid w:val="004D4348"/>
    <w:rsid w:val="004D4D00"/>
    <w:rsid w:val="004D60FC"/>
    <w:rsid w:val="004D7FE0"/>
    <w:rsid w:val="004E0173"/>
    <w:rsid w:val="004F1B13"/>
    <w:rsid w:val="004F31AD"/>
    <w:rsid w:val="004F5994"/>
    <w:rsid w:val="00501F90"/>
    <w:rsid w:val="00506959"/>
    <w:rsid w:val="00506D3F"/>
    <w:rsid w:val="0051320B"/>
    <w:rsid w:val="0051739E"/>
    <w:rsid w:val="00521DC1"/>
    <w:rsid w:val="00532B54"/>
    <w:rsid w:val="00532F99"/>
    <w:rsid w:val="0053447D"/>
    <w:rsid w:val="0053565A"/>
    <w:rsid w:val="00540C68"/>
    <w:rsid w:val="0054374C"/>
    <w:rsid w:val="00545359"/>
    <w:rsid w:val="00556C48"/>
    <w:rsid w:val="00561B38"/>
    <w:rsid w:val="00562250"/>
    <w:rsid w:val="005675B8"/>
    <w:rsid w:val="005712E8"/>
    <w:rsid w:val="00581A7C"/>
    <w:rsid w:val="0058747D"/>
    <w:rsid w:val="00593B7F"/>
    <w:rsid w:val="00596415"/>
    <w:rsid w:val="005A2F18"/>
    <w:rsid w:val="005B2023"/>
    <w:rsid w:val="005B5AAA"/>
    <w:rsid w:val="005B70F8"/>
    <w:rsid w:val="005C538C"/>
    <w:rsid w:val="005D4DC7"/>
    <w:rsid w:val="005E57F1"/>
    <w:rsid w:val="005E671A"/>
    <w:rsid w:val="00604533"/>
    <w:rsid w:val="00615305"/>
    <w:rsid w:val="006203AD"/>
    <w:rsid w:val="00635C24"/>
    <w:rsid w:val="006442BF"/>
    <w:rsid w:val="00645713"/>
    <w:rsid w:val="00645A05"/>
    <w:rsid w:val="00655828"/>
    <w:rsid w:val="00662D18"/>
    <w:rsid w:val="00667736"/>
    <w:rsid w:val="006677C7"/>
    <w:rsid w:val="0067377C"/>
    <w:rsid w:val="00677FF7"/>
    <w:rsid w:val="00682FB2"/>
    <w:rsid w:val="0068356C"/>
    <w:rsid w:val="006A3B29"/>
    <w:rsid w:val="006A3C50"/>
    <w:rsid w:val="006A5C98"/>
    <w:rsid w:val="006A663E"/>
    <w:rsid w:val="006B268F"/>
    <w:rsid w:val="006C1B4F"/>
    <w:rsid w:val="006C2E64"/>
    <w:rsid w:val="006D2183"/>
    <w:rsid w:val="006D37DC"/>
    <w:rsid w:val="006E1F0D"/>
    <w:rsid w:val="006E2783"/>
    <w:rsid w:val="006E71B5"/>
    <w:rsid w:val="006F0FE4"/>
    <w:rsid w:val="006F4F8D"/>
    <w:rsid w:val="006F54FC"/>
    <w:rsid w:val="006F6C57"/>
    <w:rsid w:val="007013D3"/>
    <w:rsid w:val="00715D56"/>
    <w:rsid w:val="00721A1C"/>
    <w:rsid w:val="007221E2"/>
    <w:rsid w:val="007331B1"/>
    <w:rsid w:val="00741763"/>
    <w:rsid w:val="00741DB5"/>
    <w:rsid w:val="00744146"/>
    <w:rsid w:val="00746BD6"/>
    <w:rsid w:val="0075080D"/>
    <w:rsid w:val="0076202F"/>
    <w:rsid w:val="00765B47"/>
    <w:rsid w:val="00767D44"/>
    <w:rsid w:val="00775D06"/>
    <w:rsid w:val="0078007E"/>
    <w:rsid w:val="0078345F"/>
    <w:rsid w:val="00785C02"/>
    <w:rsid w:val="007A0226"/>
    <w:rsid w:val="007A192F"/>
    <w:rsid w:val="007A24E9"/>
    <w:rsid w:val="007A58EC"/>
    <w:rsid w:val="007A6EFB"/>
    <w:rsid w:val="007D1685"/>
    <w:rsid w:val="007D5119"/>
    <w:rsid w:val="007D75E0"/>
    <w:rsid w:val="007E1BF8"/>
    <w:rsid w:val="007E2CE8"/>
    <w:rsid w:val="007E7939"/>
    <w:rsid w:val="007F190A"/>
    <w:rsid w:val="007F6D10"/>
    <w:rsid w:val="00800008"/>
    <w:rsid w:val="008077A2"/>
    <w:rsid w:val="0081241D"/>
    <w:rsid w:val="00812C70"/>
    <w:rsid w:val="00813CE8"/>
    <w:rsid w:val="0081401B"/>
    <w:rsid w:val="008149D0"/>
    <w:rsid w:val="00823A23"/>
    <w:rsid w:val="00823F73"/>
    <w:rsid w:val="0082413F"/>
    <w:rsid w:val="0082633E"/>
    <w:rsid w:val="0083479C"/>
    <w:rsid w:val="00835133"/>
    <w:rsid w:val="0084689E"/>
    <w:rsid w:val="00854614"/>
    <w:rsid w:val="008672BB"/>
    <w:rsid w:val="00874442"/>
    <w:rsid w:val="00882340"/>
    <w:rsid w:val="008867B7"/>
    <w:rsid w:val="00886815"/>
    <w:rsid w:val="00887921"/>
    <w:rsid w:val="00890B55"/>
    <w:rsid w:val="0089169C"/>
    <w:rsid w:val="0089239E"/>
    <w:rsid w:val="00893282"/>
    <w:rsid w:val="008A30C1"/>
    <w:rsid w:val="008B2C73"/>
    <w:rsid w:val="008B4AC3"/>
    <w:rsid w:val="008B5B91"/>
    <w:rsid w:val="008C780E"/>
    <w:rsid w:val="008E0444"/>
    <w:rsid w:val="008E352A"/>
    <w:rsid w:val="008E3EB9"/>
    <w:rsid w:val="008F53E3"/>
    <w:rsid w:val="008F7CA7"/>
    <w:rsid w:val="00900604"/>
    <w:rsid w:val="00904AE2"/>
    <w:rsid w:val="00905CBA"/>
    <w:rsid w:val="009078D2"/>
    <w:rsid w:val="00911B93"/>
    <w:rsid w:val="00911FED"/>
    <w:rsid w:val="009174CD"/>
    <w:rsid w:val="00917F5E"/>
    <w:rsid w:val="00922558"/>
    <w:rsid w:val="00924A26"/>
    <w:rsid w:val="00925974"/>
    <w:rsid w:val="009300A5"/>
    <w:rsid w:val="009306BC"/>
    <w:rsid w:val="00935930"/>
    <w:rsid w:val="00942E31"/>
    <w:rsid w:val="00945601"/>
    <w:rsid w:val="009555E9"/>
    <w:rsid w:val="00957BD9"/>
    <w:rsid w:val="009607A7"/>
    <w:rsid w:val="0096108D"/>
    <w:rsid w:val="009634FB"/>
    <w:rsid w:val="009670C1"/>
    <w:rsid w:val="00973212"/>
    <w:rsid w:val="009749AD"/>
    <w:rsid w:val="009821C7"/>
    <w:rsid w:val="0098752D"/>
    <w:rsid w:val="00994E5A"/>
    <w:rsid w:val="00996427"/>
    <w:rsid w:val="009A6167"/>
    <w:rsid w:val="009B4C4F"/>
    <w:rsid w:val="009C7B6F"/>
    <w:rsid w:val="009D1A5D"/>
    <w:rsid w:val="009D344D"/>
    <w:rsid w:val="009E0ED4"/>
    <w:rsid w:val="009E2CC1"/>
    <w:rsid w:val="009E6302"/>
    <w:rsid w:val="009F4B44"/>
    <w:rsid w:val="009F7280"/>
    <w:rsid w:val="00A1010A"/>
    <w:rsid w:val="00A20B31"/>
    <w:rsid w:val="00A31587"/>
    <w:rsid w:val="00A3240F"/>
    <w:rsid w:val="00A32A7A"/>
    <w:rsid w:val="00A41DBD"/>
    <w:rsid w:val="00A4275C"/>
    <w:rsid w:val="00A4498B"/>
    <w:rsid w:val="00A52B26"/>
    <w:rsid w:val="00A60586"/>
    <w:rsid w:val="00A63ABD"/>
    <w:rsid w:val="00A64F03"/>
    <w:rsid w:val="00A6716B"/>
    <w:rsid w:val="00A67D96"/>
    <w:rsid w:val="00A7101A"/>
    <w:rsid w:val="00A72367"/>
    <w:rsid w:val="00A72522"/>
    <w:rsid w:val="00A7401B"/>
    <w:rsid w:val="00A7786B"/>
    <w:rsid w:val="00A80C5B"/>
    <w:rsid w:val="00A84F86"/>
    <w:rsid w:val="00A913D5"/>
    <w:rsid w:val="00A9690C"/>
    <w:rsid w:val="00AA0186"/>
    <w:rsid w:val="00AA09D3"/>
    <w:rsid w:val="00AA2AF2"/>
    <w:rsid w:val="00AA64BE"/>
    <w:rsid w:val="00AA6FEE"/>
    <w:rsid w:val="00AB3DD4"/>
    <w:rsid w:val="00AC0045"/>
    <w:rsid w:val="00AC0D0A"/>
    <w:rsid w:val="00AC1878"/>
    <w:rsid w:val="00AC6279"/>
    <w:rsid w:val="00AD7A13"/>
    <w:rsid w:val="00AE092F"/>
    <w:rsid w:val="00AE19C1"/>
    <w:rsid w:val="00AF21FA"/>
    <w:rsid w:val="00B13C9C"/>
    <w:rsid w:val="00B20359"/>
    <w:rsid w:val="00B22628"/>
    <w:rsid w:val="00B22AF7"/>
    <w:rsid w:val="00B250E8"/>
    <w:rsid w:val="00B260A2"/>
    <w:rsid w:val="00B27ADD"/>
    <w:rsid w:val="00B3426A"/>
    <w:rsid w:val="00B35D53"/>
    <w:rsid w:val="00B41711"/>
    <w:rsid w:val="00B420AC"/>
    <w:rsid w:val="00B42250"/>
    <w:rsid w:val="00B475AC"/>
    <w:rsid w:val="00B54870"/>
    <w:rsid w:val="00B54DE3"/>
    <w:rsid w:val="00B563C3"/>
    <w:rsid w:val="00B6338E"/>
    <w:rsid w:val="00B637D3"/>
    <w:rsid w:val="00B73A8D"/>
    <w:rsid w:val="00B76EB9"/>
    <w:rsid w:val="00B80966"/>
    <w:rsid w:val="00B83435"/>
    <w:rsid w:val="00B83C28"/>
    <w:rsid w:val="00BA0823"/>
    <w:rsid w:val="00BA0D49"/>
    <w:rsid w:val="00BA6C13"/>
    <w:rsid w:val="00BA79B7"/>
    <w:rsid w:val="00BB3706"/>
    <w:rsid w:val="00BB3E21"/>
    <w:rsid w:val="00BC28AF"/>
    <w:rsid w:val="00BC572F"/>
    <w:rsid w:val="00BD2293"/>
    <w:rsid w:val="00BD599C"/>
    <w:rsid w:val="00BE348D"/>
    <w:rsid w:val="00BE53A2"/>
    <w:rsid w:val="00BF1066"/>
    <w:rsid w:val="00C01153"/>
    <w:rsid w:val="00C03678"/>
    <w:rsid w:val="00C0390D"/>
    <w:rsid w:val="00C04EBF"/>
    <w:rsid w:val="00C201AF"/>
    <w:rsid w:val="00C255E6"/>
    <w:rsid w:val="00C3467D"/>
    <w:rsid w:val="00C4375A"/>
    <w:rsid w:val="00C518EF"/>
    <w:rsid w:val="00C51FA2"/>
    <w:rsid w:val="00C62890"/>
    <w:rsid w:val="00C64484"/>
    <w:rsid w:val="00C70C06"/>
    <w:rsid w:val="00C77AFB"/>
    <w:rsid w:val="00C80A67"/>
    <w:rsid w:val="00C814AB"/>
    <w:rsid w:val="00C9272A"/>
    <w:rsid w:val="00C92E3E"/>
    <w:rsid w:val="00C96143"/>
    <w:rsid w:val="00CA4AA1"/>
    <w:rsid w:val="00CA72BE"/>
    <w:rsid w:val="00CA7591"/>
    <w:rsid w:val="00CB4C84"/>
    <w:rsid w:val="00CD3EC5"/>
    <w:rsid w:val="00CF2FC0"/>
    <w:rsid w:val="00CF39DE"/>
    <w:rsid w:val="00CF55D8"/>
    <w:rsid w:val="00D03251"/>
    <w:rsid w:val="00D03EA5"/>
    <w:rsid w:val="00D155C1"/>
    <w:rsid w:val="00D20A4D"/>
    <w:rsid w:val="00D3118D"/>
    <w:rsid w:val="00D33B26"/>
    <w:rsid w:val="00D41337"/>
    <w:rsid w:val="00D4391E"/>
    <w:rsid w:val="00D4508A"/>
    <w:rsid w:val="00D46F18"/>
    <w:rsid w:val="00D50FE4"/>
    <w:rsid w:val="00D51D6D"/>
    <w:rsid w:val="00D5283D"/>
    <w:rsid w:val="00D72BB9"/>
    <w:rsid w:val="00D76278"/>
    <w:rsid w:val="00D86DEB"/>
    <w:rsid w:val="00D872E2"/>
    <w:rsid w:val="00D920AC"/>
    <w:rsid w:val="00D93E0A"/>
    <w:rsid w:val="00D95FB1"/>
    <w:rsid w:val="00D96901"/>
    <w:rsid w:val="00D97499"/>
    <w:rsid w:val="00DA07A2"/>
    <w:rsid w:val="00DA2A63"/>
    <w:rsid w:val="00DA7113"/>
    <w:rsid w:val="00DB2F1D"/>
    <w:rsid w:val="00DB59F9"/>
    <w:rsid w:val="00DC1E21"/>
    <w:rsid w:val="00DC4C2B"/>
    <w:rsid w:val="00DD03AD"/>
    <w:rsid w:val="00DD0704"/>
    <w:rsid w:val="00DD53D6"/>
    <w:rsid w:val="00DD7A5D"/>
    <w:rsid w:val="00DE138E"/>
    <w:rsid w:val="00DE3330"/>
    <w:rsid w:val="00DE45C4"/>
    <w:rsid w:val="00DE6AFD"/>
    <w:rsid w:val="00DF10D7"/>
    <w:rsid w:val="00DF12DD"/>
    <w:rsid w:val="00DF4766"/>
    <w:rsid w:val="00E11499"/>
    <w:rsid w:val="00E116CE"/>
    <w:rsid w:val="00E161A8"/>
    <w:rsid w:val="00E2062F"/>
    <w:rsid w:val="00E325DC"/>
    <w:rsid w:val="00E34836"/>
    <w:rsid w:val="00E353B4"/>
    <w:rsid w:val="00E36C36"/>
    <w:rsid w:val="00E40751"/>
    <w:rsid w:val="00E40CAB"/>
    <w:rsid w:val="00E465DD"/>
    <w:rsid w:val="00E512A9"/>
    <w:rsid w:val="00E51926"/>
    <w:rsid w:val="00E579BC"/>
    <w:rsid w:val="00E70A37"/>
    <w:rsid w:val="00E72305"/>
    <w:rsid w:val="00E75DF3"/>
    <w:rsid w:val="00E769DF"/>
    <w:rsid w:val="00E76F94"/>
    <w:rsid w:val="00E80DD2"/>
    <w:rsid w:val="00E8367E"/>
    <w:rsid w:val="00E90A7D"/>
    <w:rsid w:val="00E9307C"/>
    <w:rsid w:val="00E945D6"/>
    <w:rsid w:val="00EA212D"/>
    <w:rsid w:val="00EA218E"/>
    <w:rsid w:val="00EA703E"/>
    <w:rsid w:val="00EB02E4"/>
    <w:rsid w:val="00EB6091"/>
    <w:rsid w:val="00EC2F0E"/>
    <w:rsid w:val="00EC7FFD"/>
    <w:rsid w:val="00ED0685"/>
    <w:rsid w:val="00ED735C"/>
    <w:rsid w:val="00EE1BEA"/>
    <w:rsid w:val="00EE3BE8"/>
    <w:rsid w:val="00EF18CC"/>
    <w:rsid w:val="00F03A3B"/>
    <w:rsid w:val="00F1546D"/>
    <w:rsid w:val="00F270DD"/>
    <w:rsid w:val="00F30AE6"/>
    <w:rsid w:val="00F34C19"/>
    <w:rsid w:val="00F405AC"/>
    <w:rsid w:val="00F40C7F"/>
    <w:rsid w:val="00F41809"/>
    <w:rsid w:val="00F45E72"/>
    <w:rsid w:val="00F60871"/>
    <w:rsid w:val="00F62BC3"/>
    <w:rsid w:val="00F64A0E"/>
    <w:rsid w:val="00F73199"/>
    <w:rsid w:val="00F765CA"/>
    <w:rsid w:val="00F778B7"/>
    <w:rsid w:val="00F84A1D"/>
    <w:rsid w:val="00F92103"/>
    <w:rsid w:val="00F964BF"/>
    <w:rsid w:val="00FA49D6"/>
    <w:rsid w:val="00FA6C5D"/>
    <w:rsid w:val="00FB30B1"/>
    <w:rsid w:val="00FC11E3"/>
    <w:rsid w:val="00FC3CA0"/>
    <w:rsid w:val="00FD7512"/>
    <w:rsid w:val="00FE0098"/>
    <w:rsid w:val="00FE5D0B"/>
    <w:rsid w:val="00FF0671"/>
    <w:rsid w:val="00FF212E"/>
    <w:rsid w:val="00FF40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362777507">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archive/census/2021/planning/the-future-provision-of-census-of-population-information-for-northern-irelan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5B5AA-BCE1-43BF-87FE-D2ECFE4C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Kimberley Gillespie</cp:lastModifiedBy>
  <cp:revision>90</cp:revision>
  <cp:lastPrinted>2015-05-14T09:49:00Z</cp:lastPrinted>
  <dcterms:created xsi:type="dcterms:W3CDTF">2015-09-10T09:01:00Z</dcterms:created>
  <dcterms:modified xsi:type="dcterms:W3CDTF">2016-02-09T14:11:00Z</dcterms:modified>
</cp:coreProperties>
</file>