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886AC" w14:textId="736105FF" w:rsidR="00020076" w:rsidRDefault="00B230C8" w:rsidP="00BF2CBA">
      <w:r w:rsidRPr="005E3465">
        <w:rPr>
          <w:noProof/>
          <w:lang w:eastAsia="en-GB"/>
        </w:rPr>
        <w:drawing>
          <wp:anchor distT="0" distB="0" distL="114300" distR="114300" simplePos="0" relativeHeight="251746304" behindDoc="0" locked="0" layoutInCell="1" allowOverlap="1" wp14:anchorId="2DDBC1EA" wp14:editId="62AAECDF">
            <wp:simplePos x="0" y="0"/>
            <wp:positionH relativeFrom="margin">
              <wp:align>left</wp:align>
            </wp:positionH>
            <wp:positionV relativeFrom="paragraph">
              <wp:posOffset>12700</wp:posOffset>
            </wp:positionV>
            <wp:extent cx="1840230" cy="807720"/>
            <wp:effectExtent l="0" t="0" r="7620" b="0"/>
            <wp:wrapSquare wrapText="bothSides"/>
            <wp:docPr id="57" name="Picture 57" title="NISRA Bi-ling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40230" cy="807720"/>
                    </a:xfrm>
                    <a:prstGeom prst="rect">
                      <a:avLst/>
                    </a:prstGeom>
                  </pic:spPr>
                </pic:pic>
              </a:graphicData>
            </a:graphic>
            <wp14:sizeRelH relativeFrom="margin">
              <wp14:pctWidth>0</wp14:pctWidth>
            </wp14:sizeRelH>
            <wp14:sizeRelV relativeFrom="margin">
              <wp14:pctHeight>0</wp14:pctHeight>
            </wp14:sizeRelV>
          </wp:anchor>
        </w:drawing>
      </w:r>
    </w:p>
    <w:p w14:paraId="6C2FEC43" w14:textId="77777777" w:rsidR="00D76468" w:rsidRDefault="00D76468" w:rsidP="00BF2CBA"/>
    <w:p w14:paraId="0587C473" w14:textId="77777777" w:rsidR="00D76468" w:rsidRDefault="00D76468" w:rsidP="00BF2CBA"/>
    <w:p w14:paraId="448817DD" w14:textId="77777777" w:rsidR="00D76468" w:rsidRDefault="00D76468" w:rsidP="00BF2CBA"/>
    <w:p w14:paraId="340859F2" w14:textId="77777777" w:rsidR="00D76468" w:rsidRDefault="00D76468" w:rsidP="00BF2CBA"/>
    <w:p w14:paraId="33133EAA" w14:textId="77777777" w:rsidR="00BF2CBA" w:rsidRDefault="00BF2CBA" w:rsidP="00BF2CBA">
      <w:r w:rsidRPr="005E3465">
        <w:rPr>
          <w:noProof/>
          <w:lang w:eastAsia="en-GB"/>
        </w:rPr>
        <mc:AlternateContent>
          <mc:Choice Requires="wps">
            <w:drawing>
              <wp:anchor distT="0" distB="0" distL="114300" distR="114300" simplePos="0" relativeHeight="251744256" behindDoc="0" locked="0" layoutInCell="1" allowOverlap="1" wp14:anchorId="524E100F" wp14:editId="17CB029E">
                <wp:simplePos x="0" y="0"/>
                <wp:positionH relativeFrom="margin">
                  <wp:posOffset>5715</wp:posOffset>
                </wp:positionH>
                <wp:positionV relativeFrom="paragraph">
                  <wp:posOffset>156741</wp:posOffset>
                </wp:positionV>
                <wp:extent cx="6343650" cy="18288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6343650" cy="1828800"/>
                        </a:xfrm>
                        <a:prstGeom prst="rect">
                          <a:avLst/>
                        </a:prstGeom>
                        <a:solidFill>
                          <a:srgbClr val="00205B"/>
                        </a:solidFill>
                        <a:ln>
                          <a:noFill/>
                        </a:ln>
                        <a:effectLst/>
                      </wps:spPr>
                      <wps:style>
                        <a:lnRef idx="0">
                          <a:schemeClr val="accent1"/>
                        </a:lnRef>
                        <a:fillRef idx="0">
                          <a:schemeClr val="accent1"/>
                        </a:fillRef>
                        <a:effectRef idx="0">
                          <a:schemeClr val="accent1"/>
                        </a:effectRef>
                        <a:fontRef idx="minor">
                          <a:schemeClr val="dk1"/>
                        </a:fontRef>
                      </wps:style>
                      <wps:txbx>
                        <w:txbxContent>
                          <w:p w14:paraId="3BCF6196" w14:textId="77777777" w:rsidR="00073DD9" w:rsidRPr="00BF2CBA" w:rsidRDefault="00B230C8" w:rsidP="00BF2CBA">
                            <w:pPr>
                              <w:rPr>
                                <w:b/>
                                <w:color w:val="FFFFFF" w:themeColor="background1"/>
                                <w:sz w:val="56"/>
                              </w:rPr>
                            </w:pPr>
                            <w:r>
                              <w:rPr>
                                <w:b/>
                                <w:color w:val="FFFFFF" w:themeColor="background1"/>
                                <w:sz w:val="56"/>
                              </w:rPr>
                              <w:t>Impact of Labour Force Survey Revisions</w:t>
                            </w:r>
                          </w:p>
                          <w:p w14:paraId="1DDF9B13" w14:textId="77777777" w:rsidR="00073DD9" w:rsidRPr="00BF2CBA" w:rsidRDefault="00073DD9" w:rsidP="00BF2CBA">
                            <w:pPr>
                              <w:rPr>
                                <w:b/>
                                <w:color w:val="FFFFFF" w:themeColor="background1"/>
                                <w:sz w:val="36"/>
                              </w:rPr>
                            </w:pPr>
                          </w:p>
                          <w:p w14:paraId="264CEABE" w14:textId="77777777" w:rsidR="00B230C8" w:rsidRDefault="00B230C8" w:rsidP="00BF2CBA">
                            <w:pPr>
                              <w:rPr>
                                <w:color w:val="FFFFFF" w:themeColor="background1"/>
                                <w:sz w:val="28"/>
                              </w:rPr>
                            </w:pPr>
                          </w:p>
                          <w:p w14:paraId="6FD62F65" w14:textId="77777777" w:rsidR="00073DD9" w:rsidRPr="00215851" w:rsidRDefault="00073DD9" w:rsidP="00BF2CBA">
                            <w:pPr>
                              <w:rPr>
                                <w:color w:val="FFFFFF" w:themeColor="background1"/>
                                <w:sz w:val="28"/>
                              </w:rPr>
                            </w:pPr>
                            <w:r w:rsidRPr="00215851">
                              <w:rPr>
                                <w:color w:val="FFFFFF" w:themeColor="background1"/>
                                <w:sz w:val="28"/>
                              </w:rPr>
                              <w:t>Theme: Labour Market</w:t>
                            </w:r>
                          </w:p>
                          <w:p w14:paraId="06E534A0" w14:textId="77777777" w:rsidR="00073DD9" w:rsidRPr="00215851" w:rsidRDefault="00073DD9" w:rsidP="00BF2CBA">
                            <w:pPr>
                              <w:rPr>
                                <w:color w:val="FFFFFF" w:themeColor="background1"/>
                                <w:sz w:val="28"/>
                              </w:rPr>
                            </w:pPr>
                            <w:r w:rsidRPr="00215851">
                              <w:rPr>
                                <w:color w:val="FFFFFF" w:themeColor="background1"/>
                                <w:sz w:val="28"/>
                              </w:rPr>
                              <w:t>Geographical Area: Northern Ireland</w:t>
                            </w:r>
                          </w:p>
                          <w:p w14:paraId="22208637" w14:textId="77777777" w:rsidR="00073DD9" w:rsidRPr="007D5739" w:rsidRDefault="00073DD9" w:rsidP="00BF2CBA"/>
                          <w:p w14:paraId="54C9A646" w14:textId="77777777" w:rsidR="00073DD9" w:rsidRPr="00494171" w:rsidRDefault="00073DD9" w:rsidP="00BF2C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E100F" id="_x0000_t202" coordsize="21600,21600" o:spt="202" path="m,l,21600r21600,l21600,xe">
                <v:stroke joinstyle="miter"/>
                <v:path gradientshapeok="t" o:connecttype="rect"/>
              </v:shapetype>
              <v:shape id="Text Box 27" o:spid="_x0000_s1026" type="#_x0000_t202" style="position:absolute;margin-left:.45pt;margin-top:12.35pt;width:499.5pt;height:2in;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" fillcolor="#00205b" stroked="f">
                <v:textbox>
                  <w:txbxContent>
                    <w:p w14:paraId="3BCF6196" w14:textId="77777777" w:rsidR="00073DD9" w:rsidRPr="00BF2CBA" w:rsidRDefault="00B230C8" w:rsidP="00BF2CBA">
                      <w:pPr>
                        <w:rPr>
                          <w:b/>
                          <w:color w:val="FFFFFF" w:themeColor="background1"/>
                          <w:sz w:val="56"/>
                        </w:rPr>
                      </w:pPr>
                      <w:r>
                        <w:rPr>
                          <w:b/>
                          <w:color w:val="FFFFFF" w:themeColor="background1"/>
                          <w:sz w:val="56"/>
                        </w:rPr>
                        <w:t>Impact of Labour Force Survey Revisions</w:t>
                      </w:r>
                    </w:p>
                    <w:p w14:paraId="1DDF9B13" w14:textId="77777777" w:rsidR="00073DD9" w:rsidRPr="00BF2CBA" w:rsidRDefault="00073DD9" w:rsidP="00BF2CBA">
                      <w:pPr>
                        <w:rPr>
                          <w:b/>
                          <w:color w:val="FFFFFF" w:themeColor="background1"/>
                          <w:sz w:val="36"/>
                        </w:rPr>
                      </w:pPr>
                    </w:p>
                    <w:p w14:paraId="264CEABE" w14:textId="77777777" w:rsidR="00B230C8" w:rsidRDefault="00B230C8" w:rsidP="00BF2CBA">
                      <w:pPr>
                        <w:rPr>
                          <w:color w:val="FFFFFF" w:themeColor="background1"/>
                          <w:sz w:val="28"/>
                        </w:rPr>
                      </w:pPr>
                    </w:p>
                    <w:p w14:paraId="6FD62F65" w14:textId="77777777" w:rsidR="00073DD9" w:rsidRPr="00215851" w:rsidRDefault="00073DD9" w:rsidP="00BF2CBA">
                      <w:pPr>
                        <w:rPr>
                          <w:color w:val="FFFFFF" w:themeColor="background1"/>
                          <w:sz w:val="28"/>
                        </w:rPr>
                      </w:pPr>
                      <w:r w:rsidRPr="00215851">
                        <w:rPr>
                          <w:color w:val="FFFFFF" w:themeColor="background1"/>
                          <w:sz w:val="28"/>
                        </w:rPr>
                        <w:t>Theme: Labour Market</w:t>
                      </w:r>
                    </w:p>
                    <w:p w14:paraId="06E534A0" w14:textId="77777777" w:rsidR="00073DD9" w:rsidRPr="00215851" w:rsidRDefault="00073DD9" w:rsidP="00BF2CBA">
                      <w:pPr>
                        <w:rPr>
                          <w:color w:val="FFFFFF" w:themeColor="background1"/>
                          <w:sz w:val="28"/>
                        </w:rPr>
                      </w:pPr>
                      <w:r w:rsidRPr="00215851">
                        <w:rPr>
                          <w:color w:val="FFFFFF" w:themeColor="background1"/>
                          <w:sz w:val="28"/>
                        </w:rPr>
                        <w:t>Geographical Area: Northern Ireland</w:t>
                      </w:r>
                    </w:p>
                    <w:p w14:paraId="22208637" w14:textId="77777777" w:rsidR="00073DD9" w:rsidRPr="007D5739" w:rsidRDefault="00073DD9" w:rsidP="00BF2CBA"/>
                    <w:p w14:paraId="54C9A646" w14:textId="77777777" w:rsidR="00073DD9" w:rsidRPr="00494171" w:rsidRDefault="00073DD9" w:rsidP="00BF2CBA"/>
                  </w:txbxContent>
                </v:textbox>
                <w10:wrap type="square" anchorx="margin"/>
              </v:shape>
            </w:pict>
          </mc:Fallback>
        </mc:AlternateContent>
      </w:r>
    </w:p>
    <w:p w14:paraId="0457D2DB" w14:textId="77777777" w:rsidR="007100F1" w:rsidRPr="0081178E" w:rsidRDefault="007100F1" w:rsidP="00BF2CBA">
      <w:pPr>
        <w:rPr>
          <w:sz w:val="28"/>
          <w:szCs w:val="28"/>
        </w:rPr>
      </w:pPr>
    </w:p>
    <w:p w14:paraId="3840DFE5" w14:textId="77777777" w:rsidR="0081178E" w:rsidRPr="00FF12A5" w:rsidRDefault="0081178E" w:rsidP="0087267E">
      <w:pPr>
        <w:autoSpaceDE w:val="0"/>
        <w:autoSpaceDN w:val="0"/>
        <w:spacing w:line="360" w:lineRule="auto"/>
        <w:jc w:val="both"/>
        <w:rPr>
          <w:sz w:val="28"/>
          <w:szCs w:val="28"/>
        </w:rPr>
      </w:pPr>
      <w:r w:rsidRPr="00FF12A5">
        <w:rPr>
          <w:b/>
          <w:sz w:val="28"/>
          <w:szCs w:val="28"/>
        </w:rPr>
        <w:t>Background</w:t>
      </w:r>
    </w:p>
    <w:p w14:paraId="2BDA20D8" w14:textId="77777777" w:rsidR="0087267E" w:rsidRPr="00FF12A5" w:rsidRDefault="0087267E" w:rsidP="0087267E">
      <w:pPr>
        <w:autoSpaceDE w:val="0"/>
        <w:autoSpaceDN w:val="0"/>
        <w:spacing w:line="360" w:lineRule="auto"/>
        <w:jc w:val="both"/>
      </w:pPr>
      <w:r w:rsidRPr="00FF12A5">
        <w:t>The October Labour Market Report includes a revision of Labour Force Survey results from January 2020 onwards.</w:t>
      </w:r>
    </w:p>
    <w:p w14:paraId="6A2AD156" w14:textId="77777777" w:rsidR="0087267E" w:rsidRPr="00FF12A5" w:rsidRDefault="0087267E" w:rsidP="0087267E">
      <w:pPr>
        <w:autoSpaceDE w:val="0"/>
        <w:autoSpaceDN w:val="0"/>
        <w:spacing w:line="360" w:lineRule="auto"/>
        <w:jc w:val="both"/>
      </w:pPr>
    </w:p>
    <w:p w14:paraId="07ADCC67" w14:textId="77777777" w:rsidR="0087267E" w:rsidRPr="00FF12A5" w:rsidRDefault="0087267E" w:rsidP="0087267E">
      <w:pPr>
        <w:autoSpaceDE w:val="0"/>
        <w:autoSpaceDN w:val="0"/>
        <w:spacing w:line="360" w:lineRule="auto"/>
        <w:jc w:val="both"/>
      </w:pPr>
      <w:r w:rsidRPr="00FF12A5">
        <w:t xml:space="preserve">The revision results from a change in the weighting methodology used, and was required as investigations by ONS showed the composition of the achieved sample of the Labour Force Survey had changed since the beginning of the coronavirus pandemic. </w:t>
      </w:r>
    </w:p>
    <w:p w14:paraId="31873E12" w14:textId="77777777" w:rsidR="0087267E" w:rsidRPr="00FF12A5" w:rsidRDefault="0087267E" w:rsidP="0087267E">
      <w:pPr>
        <w:autoSpaceDE w:val="0"/>
        <w:autoSpaceDN w:val="0"/>
        <w:spacing w:line="360" w:lineRule="auto"/>
        <w:jc w:val="both"/>
      </w:pPr>
    </w:p>
    <w:p w14:paraId="2C650A4A" w14:textId="2A8AD0BA" w:rsidR="0087267E" w:rsidRPr="00FF12A5" w:rsidRDefault="0087267E" w:rsidP="0087267E">
      <w:pPr>
        <w:autoSpaceDE w:val="0"/>
        <w:autoSpaceDN w:val="0"/>
        <w:spacing w:line="360" w:lineRule="auto"/>
        <w:jc w:val="both"/>
      </w:pPr>
      <w:r w:rsidRPr="00FF12A5">
        <w:t xml:space="preserve">The Labour Force Survey is a ‘five-wave’ household survey. This means selected households are interviewed five times over a period of 15 months. Traditionally the first interview of the Labour Force Survey was conducted ‘face-to-face’ in respondents’ houses, and the follow up interviews were conducted </w:t>
      </w:r>
      <w:r w:rsidR="0087506E">
        <w:t>face-to-face</w:t>
      </w:r>
      <w:r w:rsidRPr="00FF12A5">
        <w:t xml:space="preserve"> or by telephone.</w:t>
      </w:r>
    </w:p>
    <w:p w14:paraId="3B4872E1" w14:textId="77777777" w:rsidR="0087267E" w:rsidRPr="00FF12A5" w:rsidRDefault="0087267E" w:rsidP="0087267E">
      <w:pPr>
        <w:autoSpaceDE w:val="0"/>
        <w:autoSpaceDN w:val="0"/>
        <w:spacing w:line="360" w:lineRule="auto"/>
        <w:jc w:val="both"/>
      </w:pPr>
    </w:p>
    <w:p w14:paraId="656BEBD7" w14:textId="77777777" w:rsidR="0057188B" w:rsidRPr="00FF12A5" w:rsidRDefault="00BB3F4D" w:rsidP="0087267E">
      <w:pPr>
        <w:autoSpaceDE w:val="0"/>
        <w:autoSpaceDN w:val="0"/>
        <w:spacing w:line="360" w:lineRule="auto"/>
        <w:jc w:val="both"/>
      </w:pPr>
      <w:r w:rsidRPr="00FF12A5">
        <w:t>T</w:t>
      </w:r>
      <w:r w:rsidR="0087267E" w:rsidRPr="00FF12A5">
        <w:t>he necessary cessation of face-to-face interviews from mid-March 2020 due to COVID-19</w:t>
      </w:r>
      <w:r w:rsidRPr="00FF12A5">
        <w:t xml:space="preserve"> </w:t>
      </w:r>
      <w:r w:rsidR="0087267E" w:rsidRPr="00FF12A5">
        <w:t>change</w:t>
      </w:r>
      <w:r w:rsidR="00591A26">
        <w:t>d survey operations and communication</w:t>
      </w:r>
      <w:r w:rsidR="0057188B" w:rsidRPr="00FF12A5">
        <w:t xml:space="preserve"> with households, and the survey </w:t>
      </w:r>
      <w:r w:rsidR="00591A26">
        <w:t>is now fully conducted by telephone</w:t>
      </w:r>
      <w:r w:rsidR="0057188B" w:rsidRPr="00FF12A5">
        <w:t xml:space="preserve">. </w:t>
      </w:r>
      <w:r w:rsidR="00591A26">
        <w:t>These changes have</w:t>
      </w:r>
      <w:r w:rsidR="0087267E" w:rsidRPr="00FF12A5">
        <w:t xml:space="preserve"> resulted in an achieved sample comprising an increased proportion of owner occupiers and a</w:t>
      </w:r>
      <w:r w:rsidR="0057188B" w:rsidRPr="00FF12A5">
        <w:t xml:space="preserve"> decreased proportion of rented accommodation households when compared to previous years</w:t>
      </w:r>
      <w:r w:rsidR="0087267E" w:rsidRPr="00FF12A5">
        <w:t xml:space="preserve">. </w:t>
      </w:r>
    </w:p>
    <w:p w14:paraId="78438998" w14:textId="77777777" w:rsidR="0081178E" w:rsidRPr="00FF12A5" w:rsidRDefault="0081178E" w:rsidP="0087267E">
      <w:pPr>
        <w:autoSpaceDE w:val="0"/>
        <w:autoSpaceDN w:val="0"/>
        <w:spacing w:line="360" w:lineRule="auto"/>
        <w:jc w:val="both"/>
      </w:pPr>
    </w:p>
    <w:p w14:paraId="0C4772E9" w14:textId="3DBB0E86" w:rsidR="00D76468" w:rsidRDefault="0081178E" w:rsidP="0087267E">
      <w:pPr>
        <w:autoSpaceDE w:val="0"/>
        <w:autoSpaceDN w:val="0"/>
        <w:spacing w:line="360" w:lineRule="auto"/>
        <w:jc w:val="both"/>
      </w:pPr>
      <w:r w:rsidRPr="00FF12A5">
        <w:t>To improve the estimates and account for these changes in sample composition an additional weight based on tenure type has been introduced</w:t>
      </w:r>
      <w:r w:rsidR="00591A26">
        <w:t xml:space="preserve"> in the calculation of results</w:t>
      </w:r>
      <w:r w:rsidRPr="00FF12A5">
        <w:t>. More detail on Labour Forc</w:t>
      </w:r>
      <w:r w:rsidR="00675EDD">
        <w:t xml:space="preserve">e Survey weighting is available on the </w:t>
      </w:r>
      <w:hyperlink r:id="rId9" w:history="1">
        <w:r w:rsidR="00675EDD" w:rsidRPr="00675EDD">
          <w:rPr>
            <w:rStyle w:val="Hyperlink"/>
          </w:rPr>
          <w:t>ONS website</w:t>
        </w:r>
      </w:hyperlink>
      <w:r w:rsidR="00675EDD">
        <w:t xml:space="preserve"> </w:t>
      </w:r>
      <w:r w:rsidR="0087506E">
        <w:t xml:space="preserve">and within an </w:t>
      </w:r>
      <w:hyperlink r:id="rId10" w:history="1">
        <w:r w:rsidR="0087506E" w:rsidRPr="00FE6265">
          <w:rPr>
            <w:rStyle w:val="Hyperlink"/>
          </w:rPr>
          <w:t>ONS blog</w:t>
        </w:r>
      </w:hyperlink>
      <w:r w:rsidR="0087506E">
        <w:t xml:space="preserve"> detailing the changes.</w:t>
      </w:r>
    </w:p>
    <w:p w14:paraId="4C29026C" w14:textId="77777777" w:rsidR="00D76468" w:rsidRDefault="00D76468">
      <w:pPr>
        <w:widowControl w:val="0"/>
      </w:pPr>
      <w:r>
        <w:br w:type="page"/>
      </w:r>
    </w:p>
    <w:p w14:paraId="70337A10" w14:textId="77777777" w:rsidR="0081178E" w:rsidRPr="00FF12A5" w:rsidRDefault="0081178E" w:rsidP="0087267E">
      <w:pPr>
        <w:autoSpaceDE w:val="0"/>
        <w:autoSpaceDN w:val="0"/>
        <w:spacing w:line="360" w:lineRule="auto"/>
        <w:jc w:val="both"/>
        <w:rPr>
          <w:b/>
          <w:sz w:val="28"/>
          <w:szCs w:val="28"/>
        </w:rPr>
      </w:pPr>
      <w:r w:rsidRPr="00FF12A5">
        <w:rPr>
          <w:b/>
          <w:sz w:val="28"/>
          <w:szCs w:val="28"/>
        </w:rPr>
        <w:lastRenderedPageBreak/>
        <w:t xml:space="preserve">Impact </w:t>
      </w:r>
    </w:p>
    <w:p w14:paraId="01DE9DF2" w14:textId="77777777" w:rsidR="0081178E" w:rsidRPr="00FF12A5" w:rsidRDefault="0081178E" w:rsidP="0087267E">
      <w:pPr>
        <w:autoSpaceDE w:val="0"/>
        <w:autoSpaceDN w:val="0"/>
        <w:spacing w:line="360" w:lineRule="auto"/>
        <w:jc w:val="both"/>
      </w:pPr>
    </w:p>
    <w:p w14:paraId="545DF034" w14:textId="6CA97EAF" w:rsidR="0087267E" w:rsidRPr="00FF12A5" w:rsidRDefault="0087267E" w:rsidP="0087267E">
      <w:pPr>
        <w:autoSpaceDE w:val="0"/>
        <w:autoSpaceDN w:val="0"/>
        <w:spacing w:line="360" w:lineRule="auto"/>
        <w:jc w:val="both"/>
      </w:pPr>
      <w:r w:rsidRPr="00FF12A5">
        <w:t xml:space="preserve">The overall impact of the revisions on estimates has been to increase the unemployment </w:t>
      </w:r>
      <w:r w:rsidR="006E6ABE">
        <w:t xml:space="preserve">rate </w:t>
      </w:r>
      <w:r w:rsidR="0081178E" w:rsidRPr="00FF12A5">
        <w:t xml:space="preserve">and economic inactivity </w:t>
      </w:r>
      <w:r w:rsidRPr="00FF12A5">
        <w:t>rate</w:t>
      </w:r>
      <w:r w:rsidR="006E6ABE">
        <w:t>,</w:t>
      </w:r>
      <w:r w:rsidRPr="00FF12A5">
        <w:t xml:space="preserve"> and decrease</w:t>
      </w:r>
      <w:r w:rsidR="00C1652D">
        <w:t xml:space="preserve"> the employment rate.</w:t>
      </w:r>
    </w:p>
    <w:p w14:paraId="32D4E9F0" w14:textId="77777777" w:rsidR="0081178E" w:rsidRPr="00FF12A5" w:rsidRDefault="0081178E" w:rsidP="0087267E">
      <w:pPr>
        <w:autoSpaceDE w:val="0"/>
        <w:autoSpaceDN w:val="0"/>
        <w:spacing w:line="360" w:lineRule="auto"/>
        <w:jc w:val="both"/>
      </w:pPr>
    </w:p>
    <w:p w14:paraId="2D1F6E03" w14:textId="2E965C2C" w:rsidR="0081178E" w:rsidRPr="00FF12A5" w:rsidRDefault="0081178E" w:rsidP="0087267E">
      <w:pPr>
        <w:autoSpaceDE w:val="0"/>
        <w:autoSpaceDN w:val="0"/>
        <w:spacing w:line="360" w:lineRule="auto"/>
        <w:jc w:val="both"/>
      </w:pPr>
      <w:r w:rsidRPr="00FF12A5">
        <w:t xml:space="preserve">The three graphs below show the </w:t>
      </w:r>
      <w:r w:rsidR="00AE078D">
        <w:t xml:space="preserve">previously published </w:t>
      </w:r>
      <w:r w:rsidRPr="00FF12A5">
        <w:t xml:space="preserve">seasonally adjusted estimates for Northern Ireland and the new revised estimates. </w:t>
      </w:r>
      <w:r w:rsidR="00462A9A">
        <w:t xml:space="preserve">The largest difference between </w:t>
      </w:r>
      <w:r w:rsidR="003E4865">
        <w:t>previously published and revised estimates are seen in the</w:t>
      </w:r>
      <w:r w:rsidR="00462A9A">
        <w:t xml:space="preserve"> May-July data. Compared to previously published estimates</w:t>
      </w:r>
      <w:r w:rsidR="00A82767">
        <w:t xml:space="preserve"> for May-July 2020,</w:t>
      </w:r>
      <w:r w:rsidR="00462A9A">
        <w:t xml:space="preserve"> the revised employment rate is 1.1 percentage points lower, the revised economic inactivity rate is 1.1 percentage points higher, and the unemployment rate is 0.1 percentage points higher. </w:t>
      </w:r>
    </w:p>
    <w:p w14:paraId="46A676EE" w14:textId="77777777" w:rsidR="007D3413" w:rsidRDefault="007D3413" w:rsidP="0087267E">
      <w:pPr>
        <w:autoSpaceDE w:val="0"/>
        <w:autoSpaceDN w:val="0"/>
        <w:spacing w:line="360" w:lineRule="auto"/>
        <w:jc w:val="both"/>
      </w:pPr>
    </w:p>
    <w:p w14:paraId="05EB2F4F" w14:textId="41198DC4" w:rsidR="00AE078D" w:rsidRPr="00F74A4F" w:rsidRDefault="00AE078D" w:rsidP="0087267E">
      <w:pPr>
        <w:autoSpaceDE w:val="0"/>
        <w:autoSpaceDN w:val="0"/>
        <w:spacing w:line="360" w:lineRule="auto"/>
        <w:jc w:val="both"/>
        <w:rPr>
          <w:b/>
          <w:sz w:val="24"/>
          <w:szCs w:val="24"/>
        </w:rPr>
      </w:pPr>
      <w:r w:rsidRPr="00F74A4F">
        <w:rPr>
          <w:b/>
          <w:sz w:val="24"/>
          <w:szCs w:val="24"/>
        </w:rPr>
        <w:t>Employment Rate</w:t>
      </w:r>
      <w:r w:rsidR="00A82767" w:rsidRPr="00F74A4F">
        <w:rPr>
          <w:b/>
          <w:sz w:val="24"/>
          <w:szCs w:val="24"/>
        </w:rPr>
        <w:t xml:space="preserve"> – the revised estimates are lower than those previously published </w:t>
      </w:r>
    </w:p>
    <w:p w14:paraId="49499215" w14:textId="77777777" w:rsidR="006E6ABE" w:rsidRDefault="006E6ABE" w:rsidP="00781355">
      <w:pPr>
        <w:autoSpaceDE w:val="0"/>
        <w:autoSpaceDN w:val="0"/>
        <w:spacing w:line="360" w:lineRule="auto"/>
        <w:jc w:val="both"/>
        <w:rPr>
          <w:b/>
        </w:rPr>
      </w:pPr>
    </w:p>
    <w:p w14:paraId="39CDCDED" w14:textId="429A2DBC" w:rsidR="007A3A1D" w:rsidRDefault="00DC0C65" w:rsidP="00781355">
      <w:pPr>
        <w:autoSpaceDE w:val="0"/>
        <w:autoSpaceDN w:val="0"/>
        <w:spacing w:line="360" w:lineRule="auto"/>
        <w:jc w:val="both"/>
        <w:rPr>
          <w:b/>
        </w:rPr>
      </w:pPr>
      <w:r>
        <w:rPr>
          <w:b/>
        </w:rPr>
        <w:t xml:space="preserve">NI Employment Rates (16-64), Previously Published and </w:t>
      </w:r>
      <w:r w:rsidR="00BC5378" w:rsidRPr="007230CE">
        <w:rPr>
          <w:b/>
        </w:rPr>
        <w:t>Revised Estimates</w:t>
      </w:r>
      <w:r w:rsidR="00950510">
        <w:rPr>
          <w:b/>
        </w:rPr>
        <w:t xml:space="preserve"> (non-zero axis)</w:t>
      </w:r>
    </w:p>
    <w:p w14:paraId="2761C93A" w14:textId="55CF0A9F" w:rsidR="007A3A1D" w:rsidRDefault="007A3A1D" w:rsidP="00781355">
      <w:pPr>
        <w:autoSpaceDE w:val="0"/>
        <w:autoSpaceDN w:val="0"/>
        <w:spacing w:line="360" w:lineRule="auto"/>
        <w:jc w:val="both"/>
        <w:rPr>
          <w:b/>
        </w:rPr>
      </w:pPr>
      <w:r>
        <w:rPr>
          <w:noProof/>
          <w:lang w:eastAsia="en-GB"/>
        </w:rPr>
        <w:drawing>
          <wp:inline distT="0" distB="0" distL="0" distR="0" wp14:anchorId="02D76B07" wp14:editId="41344BFA">
            <wp:extent cx="6137634" cy="3888188"/>
            <wp:effectExtent l="0" t="0" r="0" b="0"/>
            <wp:docPr id="4" name="Chart 4" title="NI Employment Rates (16-64), Previously Published and Revised Estimates (non-zero axis)"/>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CA33C8" w14:textId="547E12DC" w:rsidR="00781355" w:rsidRPr="00F74A4F" w:rsidRDefault="00D76468" w:rsidP="00D76468">
      <w:pPr>
        <w:widowControl w:val="0"/>
        <w:rPr>
          <w:b/>
          <w:sz w:val="24"/>
          <w:szCs w:val="24"/>
        </w:rPr>
      </w:pPr>
      <w:bookmarkStart w:id="0" w:name="_GoBack"/>
      <w:bookmarkEnd w:id="0"/>
      <w:r>
        <w:rPr>
          <w:b/>
          <w:sz w:val="24"/>
          <w:szCs w:val="24"/>
        </w:rPr>
        <w:br w:type="page"/>
      </w:r>
      <w:r w:rsidR="00781355" w:rsidRPr="00F74A4F">
        <w:rPr>
          <w:b/>
          <w:sz w:val="24"/>
          <w:szCs w:val="24"/>
        </w:rPr>
        <w:lastRenderedPageBreak/>
        <w:t>Economic Inactivity</w:t>
      </w:r>
      <w:r w:rsidR="00DC0C65" w:rsidRPr="00F74A4F">
        <w:rPr>
          <w:b/>
          <w:sz w:val="24"/>
          <w:szCs w:val="24"/>
        </w:rPr>
        <w:t xml:space="preserve"> Rate – the revised es</w:t>
      </w:r>
      <w:r w:rsidR="00882138" w:rsidRPr="00F74A4F">
        <w:rPr>
          <w:b/>
          <w:sz w:val="24"/>
          <w:szCs w:val="24"/>
        </w:rPr>
        <w:t>timates are higher</w:t>
      </w:r>
      <w:r w:rsidR="00DC0C65" w:rsidRPr="00F74A4F">
        <w:rPr>
          <w:b/>
          <w:sz w:val="24"/>
          <w:szCs w:val="24"/>
        </w:rPr>
        <w:t xml:space="preserve"> than those previously published</w:t>
      </w:r>
    </w:p>
    <w:p w14:paraId="3A316A94" w14:textId="77777777" w:rsidR="007D3413" w:rsidRPr="007230CE" w:rsidRDefault="007D3413" w:rsidP="00F05E0F">
      <w:pPr>
        <w:autoSpaceDE w:val="0"/>
        <w:autoSpaceDN w:val="0"/>
        <w:spacing w:line="360" w:lineRule="auto"/>
        <w:jc w:val="both"/>
        <w:rPr>
          <w:b/>
        </w:rPr>
      </w:pPr>
    </w:p>
    <w:p w14:paraId="6D20C387" w14:textId="0151A0DE" w:rsidR="007D3413" w:rsidRPr="007A3A1D" w:rsidRDefault="00DC0C65" w:rsidP="00F05E0F">
      <w:pPr>
        <w:autoSpaceDE w:val="0"/>
        <w:autoSpaceDN w:val="0"/>
        <w:spacing w:line="360" w:lineRule="auto"/>
        <w:jc w:val="both"/>
        <w:rPr>
          <w:b/>
        </w:rPr>
      </w:pPr>
      <w:r>
        <w:rPr>
          <w:b/>
        </w:rPr>
        <w:t xml:space="preserve">NI </w:t>
      </w:r>
      <w:r w:rsidR="00F05E0F" w:rsidRPr="007230CE">
        <w:rPr>
          <w:b/>
        </w:rPr>
        <w:t>Economic Inactivity Rates (16-64)</w:t>
      </w:r>
      <w:r>
        <w:rPr>
          <w:b/>
        </w:rPr>
        <w:t>,</w:t>
      </w:r>
      <w:r w:rsidR="00F05E0F" w:rsidRPr="007230CE">
        <w:rPr>
          <w:b/>
        </w:rPr>
        <w:t xml:space="preserve"> </w:t>
      </w:r>
      <w:r>
        <w:rPr>
          <w:b/>
        </w:rPr>
        <w:t xml:space="preserve">Previously Published and </w:t>
      </w:r>
      <w:r w:rsidRPr="007230CE">
        <w:rPr>
          <w:b/>
        </w:rPr>
        <w:t>Revised Estimates</w:t>
      </w:r>
      <w:r w:rsidR="00950510">
        <w:rPr>
          <w:b/>
        </w:rPr>
        <w:t xml:space="preserve"> (non-zero axis)</w:t>
      </w:r>
    </w:p>
    <w:p w14:paraId="797F0460" w14:textId="793DFFA3" w:rsidR="00462A9A" w:rsidRPr="00A82767" w:rsidRDefault="007A3A1D" w:rsidP="00A82767">
      <w:pPr>
        <w:autoSpaceDE w:val="0"/>
        <w:autoSpaceDN w:val="0"/>
        <w:spacing w:line="360" w:lineRule="auto"/>
        <w:jc w:val="both"/>
      </w:pPr>
      <w:r>
        <w:rPr>
          <w:noProof/>
          <w:lang w:eastAsia="en-GB"/>
        </w:rPr>
        <w:drawing>
          <wp:inline distT="0" distB="0" distL="0" distR="0" wp14:anchorId="5A84FB5C" wp14:editId="21489917">
            <wp:extent cx="6344285" cy="3554233"/>
            <wp:effectExtent l="0" t="0" r="0" b="8255"/>
            <wp:docPr id="1" name="Chart 1" title="NI Economic Inactivity Rates (16-64), Previously Published and Revised Estimates (non-zero axis)"/>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4DD7A6" w14:textId="77777777" w:rsidR="00160730" w:rsidRDefault="00160730" w:rsidP="00462A9A">
      <w:pPr>
        <w:widowControl w:val="0"/>
        <w:rPr>
          <w:b/>
        </w:rPr>
      </w:pPr>
    </w:p>
    <w:p w14:paraId="647532BC" w14:textId="0CB1C420" w:rsidR="00781355" w:rsidRPr="00F74A4F" w:rsidRDefault="00781355" w:rsidP="00462A9A">
      <w:pPr>
        <w:widowControl w:val="0"/>
        <w:rPr>
          <w:sz w:val="24"/>
          <w:szCs w:val="24"/>
        </w:rPr>
      </w:pPr>
      <w:r w:rsidRPr="00F74A4F">
        <w:rPr>
          <w:b/>
          <w:sz w:val="24"/>
          <w:szCs w:val="24"/>
        </w:rPr>
        <w:t xml:space="preserve">Unemployment </w:t>
      </w:r>
      <w:r w:rsidR="00DC0C65" w:rsidRPr="00F74A4F">
        <w:rPr>
          <w:b/>
          <w:sz w:val="24"/>
          <w:szCs w:val="24"/>
        </w:rPr>
        <w:t>Rate - the revised estimates are higher than those previously published</w:t>
      </w:r>
    </w:p>
    <w:p w14:paraId="7F285273" w14:textId="77777777" w:rsidR="00F05E0F" w:rsidRPr="007230CE" w:rsidRDefault="00F05E0F" w:rsidP="00781355">
      <w:pPr>
        <w:autoSpaceDE w:val="0"/>
        <w:autoSpaceDN w:val="0"/>
        <w:spacing w:line="360" w:lineRule="auto"/>
        <w:jc w:val="both"/>
        <w:rPr>
          <w:b/>
        </w:rPr>
      </w:pPr>
    </w:p>
    <w:p w14:paraId="48F00528" w14:textId="29D0C9DC" w:rsidR="00F05E0F" w:rsidRPr="007230CE" w:rsidRDefault="00F05E0F" w:rsidP="00781355">
      <w:pPr>
        <w:autoSpaceDE w:val="0"/>
        <w:autoSpaceDN w:val="0"/>
        <w:spacing w:line="360" w:lineRule="auto"/>
        <w:jc w:val="both"/>
        <w:rPr>
          <w:b/>
        </w:rPr>
      </w:pPr>
      <w:r w:rsidRPr="007230CE">
        <w:rPr>
          <w:b/>
        </w:rPr>
        <w:t>NI Unemployment Rates (16</w:t>
      </w:r>
      <w:r w:rsidR="00DC0C65">
        <w:rPr>
          <w:b/>
        </w:rPr>
        <w:t>+</w:t>
      </w:r>
      <w:r w:rsidR="00387ED6">
        <w:rPr>
          <w:b/>
        </w:rPr>
        <w:t xml:space="preserve">), </w:t>
      </w:r>
      <w:r w:rsidR="00387ED6" w:rsidRPr="007230CE">
        <w:rPr>
          <w:b/>
        </w:rPr>
        <w:t xml:space="preserve">Previously Published </w:t>
      </w:r>
      <w:r w:rsidRPr="007230CE">
        <w:rPr>
          <w:b/>
        </w:rPr>
        <w:t xml:space="preserve">and </w:t>
      </w:r>
      <w:r w:rsidR="00BC5378" w:rsidRPr="007230CE">
        <w:rPr>
          <w:b/>
        </w:rPr>
        <w:t>Revised Estimates</w:t>
      </w:r>
      <w:r w:rsidR="006A2E79">
        <w:rPr>
          <w:b/>
        </w:rPr>
        <w:t xml:space="preserve"> (non-zero axis)</w:t>
      </w:r>
    </w:p>
    <w:p w14:paraId="572DD246" w14:textId="4E188DCC" w:rsidR="0081178E" w:rsidRPr="007A3A1D" w:rsidRDefault="007A3A1D" w:rsidP="0087267E">
      <w:pPr>
        <w:autoSpaceDE w:val="0"/>
        <w:autoSpaceDN w:val="0"/>
        <w:spacing w:line="360" w:lineRule="auto"/>
        <w:jc w:val="both"/>
      </w:pPr>
      <w:r>
        <w:rPr>
          <w:noProof/>
          <w:lang w:eastAsia="en-GB"/>
        </w:rPr>
        <w:drawing>
          <wp:inline distT="0" distB="0" distL="0" distR="0" wp14:anchorId="4F38773D" wp14:editId="3C85151D">
            <wp:extent cx="6042025" cy="3490623"/>
            <wp:effectExtent l="0" t="0" r="0" b="0"/>
            <wp:docPr id="5" name="Chart 5" title="NI Unemployment Rates (16+), Previously Published and Revised Estimates (non-zero axis)"/>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5F046DF" w14:textId="77777777" w:rsidR="001223A1" w:rsidRDefault="001223A1" w:rsidP="00BF2CBA">
      <w:pPr>
        <w:rPr>
          <w:rFonts w:eastAsiaTheme="minorHAnsi"/>
        </w:rPr>
      </w:pPr>
    </w:p>
    <w:p w14:paraId="52E6B55C" w14:textId="77777777" w:rsidR="00D76468" w:rsidRDefault="00D76468">
      <w:pPr>
        <w:widowControl w:val="0"/>
        <w:rPr>
          <w:rFonts w:eastAsiaTheme="minorHAnsi"/>
          <w:b/>
        </w:rPr>
      </w:pPr>
      <w:r>
        <w:rPr>
          <w:rFonts w:eastAsiaTheme="minorHAnsi"/>
          <w:b/>
        </w:rPr>
        <w:br w:type="page"/>
      </w:r>
    </w:p>
    <w:p w14:paraId="2389E2F7" w14:textId="5C4EB79C" w:rsidR="00025FEB" w:rsidRPr="002240F4" w:rsidRDefault="00025FEB" w:rsidP="00BF2CBA">
      <w:pPr>
        <w:rPr>
          <w:rFonts w:eastAsiaTheme="minorHAnsi"/>
          <w:b/>
        </w:rPr>
      </w:pPr>
      <w:r w:rsidRPr="002240F4">
        <w:rPr>
          <w:rFonts w:eastAsiaTheme="minorHAnsi"/>
          <w:b/>
        </w:rPr>
        <w:lastRenderedPageBreak/>
        <w:t>Table 1 Comparison of Previously Published and Revised headline Estimates</w:t>
      </w:r>
    </w:p>
    <w:p w14:paraId="32CE9D5C" w14:textId="77777777" w:rsidR="00025FEB" w:rsidRDefault="00025FEB" w:rsidP="00BF2CBA">
      <w:pPr>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Comparison of Previously Published and Revised headline Estimates"/>
      </w:tblPr>
      <w:tblGrid>
        <w:gridCol w:w="1555"/>
        <w:gridCol w:w="1417"/>
        <w:gridCol w:w="1398"/>
        <w:gridCol w:w="1456"/>
        <w:gridCol w:w="1682"/>
        <w:gridCol w:w="1230"/>
        <w:gridCol w:w="1456"/>
      </w:tblGrid>
      <w:tr w:rsidR="00025FEB" w14:paraId="06253C7C" w14:textId="77777777" w:rsidTr="00D76468">
        <w:tc>
          <w:tcPr>
            <w:tcW w:w="1555" w:type="dxa"/>
            <w:vMerge w:val="restart"/>
          </w:tcPr>
          <w:p w14:paraId="77A01B49" w14:textId="769D356F" w:rsidR="00025FEB" w:rsidRDefault="00025FEB" w:rsidP="00BF2CBA">
            <w:pPr>
              <w:rPr>
                <w:rFonts w:eastAsiaTheme="minorHAnsi"/>
              </w:rPr>
            </w:pPr>
          </w:p>
        </w:tc>
        <w:tc>
          <w:tcPr>
            <w:tcW w:w="2815" w:type="dxa"/>
            <w:gridSpan w:val="2"/>
          </w:tcPr>
          <w:p w14:paraId="0926E0FA" w14:textId="77777777" w:rsidR="00025FEB" w:rsidRDefault="00025FEB" w:rsidP="002240F4">
            <w:pPr>
              <w:jc w:val="center"/>
              <w:rPr>
                <w:rFonts w:eastAsiaTheme="minorHAnsi"/>
              </w:rPr>
            </w:pPr>
            <w:r>
              <w:rPr>
                <w:rFonts w:eastAsiaTheme="minorHAnsi"/>
              </w:rPr>
              <w:t>Employment rate (16-64)</w:t>
            </w:r>
          </w:p>
          <w:p w14:paraId="4F710584" w14:textId="2C0D2C6A" w:rsidR="002240F4" w:rsidRDefault="002240F4" w:rsidP="002240F4">
            <w:pPr>
              <w:jc w:val="center"/>
              <w:rPr>
                <w:rFonts w:eastAsiaTheme="minorHAnsi"/>
              </w:rPr>
            </w:pPr>
          </w:p>
        </w:tc>
        <w:tc>
          <w:tcPr>
            <w:tcW w:w="3138" w:type="dxa"/>
            <w:gridSpan w:val="2"/>
          </w:tcPr>
          <w:p w14:paraId="75F08E96" w14:textId="02D17095" w:rsidR="00025FEB" w:rsidRDefault="00025FEB" w:rsidP="002240F4">
            <w:pPr>
              <w:jc w:val="center"/>
              <w:rPr>
                <w:rFonts w:eastAsiaTheme="minorHAnsi"/>
              </w:rPr>
            </w:pPr>
            <w:r>
              <w:rPr>
                <w:rFonts w:eastAsiaTheme="minorHAnsi"/>
              </w:rPr>
              <w:t>Economic Inactivity Rate (16-64)</w:t>
            </w:r>
          </w:p>
        </w:tc>
        <w:tc>
          <w:tcPr>
            <w:tcW w:w="2686" w:type="dxa"/>
            <w:gridSpan w:val="2"/>
          </w:tcPr>
          <w:p w14:paraId="46780A05" w14:textId="352409C7" w:rsidR="00025FEB" w:rsidRDefault="00025FEB" w:rsidP="002240F4">
            <w:pPr>
              <w:jc w:val="center"/>
              <w:rPr>
                <w:rFonts w:eastAsiaTheme="minorHAnsi"/>
              </w:rPr>
            </w:pPr>
            <w:r>
              <w:rPr>
                <w:rFonts w:eastAsiaTheme="minorHAnsi"/>
              </w:rPr>
              <w:t>Unemployment Rate (16+)</w:t>
            </w:r>
            <w:r w:rsidR="002F0DF2" w:rsidRPr="002F0DF2">
              <w:rPr>
                <w:rFonts w:eastAsiaTheme="minorHAnsi"/>
                <w:vertAlign w:val="superscript"/>
              </w:rPr>
              <w:t>1</w:t>
            </w:r>
          </w:p>
        </w:tc>
      </w:tr>
      <w:tr w:rsidR="00025FEB" w14:paraId="0B7398F8" w14:textId="77777777" w:rsidTr="00D76468">
        <w:tc>
          <w:tcPr>
            <w:tcW w:w="1555" w:type="dxa"/>
            <w:vMerge/>
          </w:tcPr>
          <w:p w14:paraId="30F50800" w14:textId="77777777" w:rsidR="00025FEB" w:rsidRDefault="00025FEB" w:rsidP="00025FEB">
            <w:pPr>
              <w:rPr>
                <w:rFonts w:eastAsiaTheme="minorHAnsi"/>
              </w:rPr>
            </w:pPr>
          </w:p>
        </w:tc>
        <w:tc>
          <w:tcPr>
            <w:tcW w:w="1417" w:type="dxa"/>
          </w:tcPr>
          <w:p w14:paraId="1D60D739" w14:textId="0817ED32" w:rsidR="00025FEB" w:rsidRDefault="002240F4" w:rsidP="002240F4">
            <w:pPr>
              <w:jc w:val="center"/>
              <w:rPr>
                <w:rFonts w:eastAsiaTheme="minorHAnsi"/>
              </w:rPr>
            </w:pPr>
            <w:r w:rsidRPr="00702341">
              <w:rPr>
                <w:noProof/>
                <w:szCs w:val="22"/>
              </w:rPr>
              <mc:AlternateContent>
                <mc:Choice Requires="wpg">
                  <w:drawing>
                    <wp:anchor distT="0" distB="0" distL="114300" distR="114300" simplePos="0" relativeHeight="251748352" behindDoc="0" locked="0" layoutInCell="1" allowOverlap="1" wp14:anchorId="5289BFC7" wp14:editId="1C2ED429">
                      <wp:simplePos x="0" y="0"/>
                      <wp:positionH relativeFrom="column">
                        <wp:posOffset>-1059180</wp:posOffset>
                      </wp:positionH>
                      <wp:positionV relativeFrom="paragraph">
                        <wp:posOffset>377135</wp:posOffset>
                      </wp:positionV>
                      <wp:extent cx="6555105" cy="1"/>
                      <wp:effectExtent l="0" t="19050" r="36195" b="38100"/>
                      <wp:wrapNone/>
                      <wp:docPr id="2" name="Group 2" title="Decorative table title underline"/>
                      <wp:cNvGraphicFramePr/>
                      <a:graphic xmlns:a="http://schemas.openxmlformats.org/drawingml/2006/main">
                        <a:graphicData uri="http://schemas.microsoft.com/office/word/2010/wordprocessingGroup">
                          <wpg:wgp>
                            <wpg:cNvGrpSpPr/>
                            <wpg:grpSpPr>
                              <a:xfrm>
                                <a:off x="0" y="0"/>
                                <a:ext cx="6555105" cy="1"/>
                                <a:chOff x="0" y="-1"/>
                                <a:chExt cx="6555105" cy="1"/>
                              </a:xfrm>
                            </wpg:grpSpPr>
                            <wps:wsp>
                              <wps:cNvPr id="3" name="Straight Arrow Connector 3" descr="Title underline&#10;"/>
                              <wps:cNvCnPr>
                                <a:cxnSpLocks noChangeShapeType="1"/>
                              </wps:cNvCnPr>
                              <wps:spPr bwMode="auto">
                                <a:xfrm>
                                  <a:off x="0" y="0"/>
                                  <a:ext cx="2237740" cy="0"/>
                                </a:xfrm>
                                <a:prstGeom prst="straightConnector1">
                                  <a:avLst/>
                                </a:prstGeom>
                                <a:noFill/>
                                <a:ln w="57150">
                                  <a:solidFill>
                                    <a:srgbClr val="CEDC00"/>
                                  </a:solidFill>
                                  <a:round/>
                                  <a:headEnd/>
                                  <a:tailEnd/>
                                </a:ln>
                                <a:extLst>
                                  <a:ext uri="{909E8E84-426E-40DD-AFC4-6F175D3DCCD1}">
                                    <a14:hiddenFill xmlns:a14="http://schemas.microsoft.com/office/drawing/2010/main">
                                      <a:noFill/>
                                    </a14:hiddenFill>
                                  </a:ext>
                                </a:extLst>
                              </wps:spPr>
                              <wps:bodyPr/>
                            </wps:wsp>
                            <wps:wsp>
                              <wps:cNvPr id="6" name="Straight Arrow Connector 6" descr="Title underline"/>
                              <wps:cNvCnPr>
                                <a:cxnSpLocks noChangeShapeType="1"/>
                              </wps:cNvCnPr>
                              <wps:spPr bwMode="auto">
                                <a:xfrm>
                                  <a:off x="2073349" y="0"/>
                                  <a:ext cx="2238375" cy="0"/>
                                </a:xfrm>
                                <a:prstGeom prst="straightConnector1">
                                  <a:avLst/>
                                </a:prstGeom>
                                <a:noFill/>
                                <a:ln w="57150">
                                  <a:solidFill>
                                    <a:srgbClr val="407EC9"/>
                                  </a:solidFill>
                                  <a:round/>
                                  <a:headEnd/>
                                  <a:tailEnd/>
                                </a:ln>
                                <a:extLst>
                                  <a:ext uri="{909E8E84-426E-40DD-AFC4-6F175D3DCCD1}">
                                    <a14:hiddenFill xmlns:a14="http://schemas.microsoft.com/office/drawing/2010/main">
                                      <a:noFill/>
                                    </a14:hiddenFill>
                                  </a:ext>
                                </a:extLst>
                              </wps:spPr>
                              <wps:bodyPr/>
                            </wps:wsp>
                            <wps:wsp>
                              <wps:cNvPr id="7" name="Straight Arrow Connector 7" descr="Title underline"/>
                              <wps:cNvCnPr>
                                <a:cxnSpLocks noChangeShapeType="1"/>
                              </wps:cNvCnPr>
                              <wps:spPr bwMode="auto">
                                <a:xfrm>
                                  <a:off x="3990054" y="-1"/>
                                  <a:ext cx="2565051" cy="0"/>
                                </a:xfrm>
                                <a:prstGeom prst="straightConnector1">
                                  <a:avLst/>
                                </a:prstGeom>
                                <a:noFill/>
                                <a:ln w="57150">
                                  <a:solidFill>
                                    <a:srgbClr val="00205B"/>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8A2390C" id="Group 2" o:spid="_x0000_s1026" alt="Title: Decorative table title underline" style="position:absolute;margin-left:-83.4pt;margin-top:29.7pt;width:516.15pt;height:0;z-index:251748352" coordorigin="" coordsize="65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">
                      <v:shapetype id="_x0000_t32" coordsize="21600,21600" o:spt="32" o:oned="t" path="m,l21600,21600e" filled="f">
                        <v:path arrowok="t" fillok="f" o:connecttype="none"/>
                        <o:lock v:ext="edit" shapetype="t"/>
                      </v:shapetype>
                      <v:shape id="Straight Arrow Connector 3" o:spid="_x0000_s1027" type="#_x0000_t32" alt="Title underline&#10;" style="position:absolute;width:223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HHi8MAAADaAAAADwAAAGRycy9kb3ducmV2LnhtbESPQWvCQBSE74L/YXlCb7qJ1tamWUWF&#10;Qg8iaIu9PrKv2Wj2bchuNe2v7wqCx2FmvmHyRWdrcabWV44VpKMEBHHhdMWlgs+Pt+EMhA/IGmvH&#10;pOCXPCzm/V6OmXYX3tF5H0oRIewzVGBCaDIpfWHIoh+5hjh63661GKJsS6lbvES4reU4SZ6kxYrj&#10;gsGG1oaK0/7HKvB/KU/NMx9fNpuV/jKPVB7WW6UeBt3yFUSgLtzDt/a7VjCB65V4A+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Bx4vDAAAA2gAAAA8AAAAAAAAAAAAA&#10;AAAAoQIAAGRycy9kb3ducmV2LnhtbFBLBQYAAAAABAAEAPkAAACRAwAAAAA=&#10;" strokecolor="#cedc00" strokeweight="4.5pt"/>
                      <v:shape id="Straight Arrow Connector 6" o:spid="_x0000_s1028" type="#_x0000_t32" alt="Title underline" style="position:absolute;left:20733;width:223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IEEcMAAADaAAAADwAAAGRycy9kb3ducmV2LnhtbESPS2sCQRCE7wH/w9CCt+ysHiSsO0oi&#10;CIJ40Pggt85Ou8/pWXcmuv77jBDIsaiqr6h00ZtG3KhzpWUF4ygGQZxZXXKu4PC5en0D4TyyxsYy&#10;KXiQg8V88JJiou2dd3Tb+1wECLsEFRTet4mULivIoItsSxy8i+0M+iC7XOoO7wFuGjmJ46k0WHJY&#10;KLClZUFZvf8xCk71A8dn+X10X5vqo+ov1125RaVGw/59BsJT7//Df+21VjCF55VwA+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iBBHDAAAA2gAAAA8AAAAAAAAAAAAA&#10;AAAAoQIAAGRycy9kb3ducmV2LnhtbFBLBQYAAAAABAAEAPkAAACRAwAAAAA=&#10;" strokecolor="#407ec9" strokeweight="4.5pt"/>
                      <v:shape id="Straight Arrow Connector 7" o:spid="_x0000_s1029" type="#_x0000_t32" alt="Title underline" style="position:absolute;left:39900;width:256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0RWcAAAADaAAAADwAAAGRycy9kb3ducmV2LnhtbESPQWvCQBSE7wX/w/IEb3WjWJXoGkoh&#10;4LW2B4+P7MsmZPdtzG40/vtuodDjMDPfMMdiclbcaQitZwWrZQaCuPK6ZaPg+6t83YMIEVmj9UwK&#10;nhSgOM1ejphr/+BPul+iEQnCIUcFTYx9LmWoGnIYlr4nTl7tB4cxycFIPeAjwZ2V6yzbSoctp4UG&#10;e/poqOouo0uUUW9i9VZenzdrO7Ovbbs1pVKL+fR+ABFpiv/hv/ZZK9jB75V0A+Tp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B9EVnAAAAA2gAAAA8AAAAAAAAAAAAAAAAA&#10;oQIAAGRycy9kb3ducmV2LnhtbFBLBQYAAAAABAAEAPkAAACOAwAAAAA=&#10;" strokecolor="#00205b" strokeweight="4.5pt"/>
                    </v:group>
                  </w:pict>
                </mc:Fallback>
              </mc:AlternateContent>
            </w:r>
            <w:r w:rsidR="00025FEB">
              <w:rPr>
                <w:rFonts w:eastAsiaTheme="minorHAnsi"/>
              </w:rPr>
              <w:t>Previously Published</w:t>
            </w:r>
          </w:p>
        </w:tc>
        <w:tc>
          <w:tcPr>
            <w:tcW w:w="1398" w:type="dxa"/>
          </w:tcPr>
          <w:p w14:paraId="4340B9E6" w14:textId="6F0E5C30" w:rsidR="00025FEB" w:rsidRDefault="00025FEB" w:rsidP="002240F4">
            <w:pPr>
              <w:jc w:val="center"/>
              <w:rPr>
                <w:rFonts w:eastAsiaTheme="minorHAnsi"/>
              </w:rPr>
            </w:pPr>
            <w:r>
              <w:rPr>
                <w:rFonts w:eastAsiaTheme="minorHAnsi"/>
              </w:rPr>
              <w:t>Revised</w:t>
            </w:r>
          </w:p>
        </w:tc>
        <w:tc>
          <w:tcPr>
            <w:tcW w:w="1456" w:type="dxa"/>
          </w:tcPr>
          <w:p w14:paraId="2528747D" w14:textId="304E9BEB" w:rsidR="00025FEB" w:rsidRDefault="00025FEB" w:rsidP="002240F4">
            <w:pPr>
              <w:jc w:val="center"/>
              <w:rPr>
                <w:rFonts w:eastAsiaTheme="minorHAnsi"/>
              </w:rPr>
            </w:pPr>
            <w:r>
              <w:rPr>
                <w:rFonts w:eastAsiaTheme="minorHAnsi"/>
              </w:rPr>
              <w:t>Previously Published</w:t>
            </w:r>
          </w:p>
        </w:tc>
        <w:tc>
          <w:tcPr>
            <w:tcW w:w="1682" w:type="dxa"/>
          </w:tcPr>
          <w:p w14:paraId="1C09A146" w14:textId="52C04589" w:rsidR="00025FEB" w:rsidRDefault="00025FEB" w:rsidP="002240F4">
            <w:pPr>
              <w:jc w:val="center"/>
              <w:rPr>
                <w:rFonts w:eastAsiaTheme="minorHAnsi"/>
              </w:rPr>
            </w:pPr>
            <w:r>
              <w:rPr>
                <w:rFonts w:eastAsiaTheme="minorHAnsi"/>
              </w:rPr>
              <w:t>Revised</w:t>
            </w:r>
          </w:p>
        </w:tc>
        <w:tc>
          <w:tcPr>
            <w:tcW w:w="1230" w:type="dxa"/>
          </w:tcPr>
          <w:p w14:paraId="3ADCA8E0" w14:textId="77777777" w:rsidR="00025FEB" w:rsidRDefault="00025FEB" w:rsidP="002240F4">
            <w:pPr>
              <w:jc w:val="center"/>
              <w:rPr>
                <w:rFonts w:eastAsiaTheme="minorHAnsi"/>
              </w:rPr>
            </w:pPr>
            <w:r>
              <w:rPr>
                <w:rFonts w:eastAsiaTheme="minorHAnsi"/>
              </w:rPr>
              <w:t>Previously Published</w:t>
            </w:r>
          </w:p>
          <w:p w14:paraId="387CC74F" w14:textId="2C9BA461" w:rsidR="002240F4" w:rsidRDefault="002240F4" w:rsidP="002240F4">
            <w:pPr>
              <w:jc w:val="center"/>
              <w:rPr>
                <w:rFonts w:eastAsiaTheme="minorHAnsi"/>
              </w:rPr>
            </w:pPr>
          </w:p>
        </w:tc>
        <w:tc>
          <w:tcPr>
            <w:tcW w:w="1456" w:type="dxa"/>
          </w:tcPr>
          <w:p w14:paraId="25F6E31D" w14:textId="69FDF667" w:rsidR="00025FEB" w:rsidRDefault="00025FEB" w:rsidP="002240F4">
            <w:pPr>
              <w:jc w:val="center"/>
              <w:rPr>
                <w:rFonts w:eastAsiaTheme="minorHAnsi"/>
              </w:rPr>
            </w:pPr>
            <w:r>
              <w:rPr>
                <w:rFonts w:eastAsiaTheme="minorHAnsi"/>
              </w:rPr>
              <w:t>Revised</w:t>
            </w:r>
          </w:p>
        </w:tc>
      </w:tr>
      <w:tr w:rsidR="00320B70" w14:paraId="36974AC4" w14:textId="77777777" w:rsidTr="00D76468">
        <w:tc>
          <w:tcPr>
            <w:tcW w:w="1555" w:type="dxa"/>
          </w:tcPr>
          <w:p w14:paraId="39154D8B" w14:textId="7296C816" w:rsidR="00320B70" w:rsidRDefault="00320B70" w:rsidP="00320B70">
            <w:pPr>
              <w:rPr>
                <w:rFonts w:eastAsiaTheme="minorHAnsi"/>
              </w:rPr>
            </w:pPr>
            <w:r w:rsidRPr="002852F1">
              <w:t>Jan-Mar 2020</w:t>
            </w:r>
          </w:p>
        </w:tc>
        <w:tc>
          <w:tcPr>
            <w:tcW w:w="1417" w:type="dxa"/>
          </w:tcPr>
          <w:p w14:paraId="014C9BF3" w14:textId="613271F4" w:rsidR="00320B70" w:rsidRDefault="00320B70" w:rsidP="00320B70">
            <w:pPr>
              <w:jc w:val="center"/>
              <w:rPr>
                <w:rFonts w:eastAsiaTheme="minorHAnsi"/>
              </w:rPr>
            </w:pPr>
            <w:r>
              <w:rPr>
                <w:rFonts w:cs="Arial"/>
                <w:color w:val="000000"/>
              </w:rPr>
              <w:t>72.4%</w:t>
            </w:r>
          </w:p>
        </w:tc>
        <w:tc>
          <w:tcPr>
            <w:tcW w:w="1398" w:type="dxa"/>
          </w:tcPr>
          <w:p w14:paraId="73077392" w14:textId="2E973E34" w:rsidR="00320B70" w:rsidRDefault="00320B70" w:rsidP="00320B70">
            <w:pPr>
              <w:jc w:val="center"/>
              <w:rPr>
                <w:rFonts w:eastAsiaTheme="minorHAnsi"/>
              </w:rPr>
            </w:pPr>
            <w:r>
              <w:rPr>
                <w:rFonts w:cs="Arial"/>
                <w:color w:val="000000"/>
              </w:rPr>
              <w:t>71.9%</w:t>
            </w:r>
          </w:p>
        </w:tc>
        <w:tc>
          <w:tcPr>
            <w:tcW w:w="1456" w:type="dxa"/>
          </w:tcPr>
          <w:p w14:paraId="7FE98E04" w14:textId="7DCBC48A" w:rsidR="00320B70" w:rsidRDefault="00320B70" w:rsidP="00320B70">
            <w:pPr>
              <w:jc w:val="center"/>
              <w:rPr>
                <w:rFonts w:eastAsiaTheme="minorHAnsi"/>
              </w:rPr>
            </w:pPr>
            <w:r>
              <w:rPr>
                <w:rFonts w:cs="Arial"/>
                <w:color w:val="000000"/>
              </w:rPr>
              <w:t>25.8%</w:t>
            </w:r>
          </w:p>
        </w:tc>
        <w:tc>
          <w:tcPr>
            <w:tcW w:w="1682" w:type="dxa"/>
          </w:tcPr>
          <w:p w14:paraId="3DFA1D13" w14:textId="64E0E5C0" w:rsidR="00320B70" w:rsidRDefault="00320B70" w:rsidP="00320B70">
            <w:pPr>
              <w:jc w:val="center"/>
              <w:rPr>
                <w:rFonts w:eastAsiaTheme="minorHAnsi"/>
              </w:rPr>
            </w:pPr>
            <w:r>
              <w:rPr>
                <w:rFonts w:cs="Arial"/>
                <w:color w:val="000000"/>
              </w:rPr>
              <w:t>26.2%</w:t>
            </w:r>
          </w:p>
        </w:tc>
        <w:tc>
          <w:tcPr>
            <w:tcW w:w="1230" w:type="dxa"/>
          </w:tcPr>
          <w:p w14:paraId="45DF0FF2" w14:textId="3FF11D7C" w:rsidR="00320B70" w:rsidRDefault="00320B70" w:rsidP="00320B70">
            <w:pPr>
              <w:jc w:val="center"/>
              <w:rPr>
                <w:rFonts w:eastAsiaTheme="minorHAnsi"/>
              </w:rPr>
            </w:pPr>
            <w:r>
              <w:rPr>
                <w:rFonts w:cs="Arial"/>
                <w:color w:val="000000"/>
              </w:rPr>
              <w:t>2.4%</w:t>
            </w:r>
          </w:p>
        </w:tc>
        <w:tc>
          <w:tcPr>
            <w:tcW w:w="1456" w:type="dxa"/>
          </w:tcPr>
          <w:p w14:paraId="3F3A31DA" w14:textId="787E7E74" w:rsidR="00320B70" w:rsidRDefault="00320B70" w:rsidP="00320B70">
            <w:pPr>
              <w:jc w:val="center"/>
              <w:rPr>
                <w:rFonts w:eastAsiaTheme="minorHAnsi"/>
              </w:rPr>
            </w:pPr>
            <w:r>
              <w:rPr>
                <w:rFonts w:cs="Arial"/>
                <w:color w:val="000000"/>
              </w:rPr>
              <w:t>2.4%</w:t>
            </w:r>
          </w:p>
        </w:tc>
      </w:tr>
      <w:tr w:rsidR="00320B70" w14:paraId="71A3DBE9" w14:textId="77777777" w:rsidTr="00D76468">
        <w:tc>
          <w:tcPr>
            <w:tcW w:w="1555" w:type="dxa"/>
          </w:tcPr>
          <w:p w14:paraId="5D8E0C47" w14:textId="66D5C954" w:rsidR="00320B70" w:rsidRDefault="00320B70" w:rsidP="00320B70">
            <w:pPr>
              <w:rPr>
                <w:rFonts w:eastAsiaTheme="minorHAnsi"/>
              </w:rPr>
            </w:pPr>
            <w:r w:rsidRPr="002852F1">
              <w:t>Feb-Apr 2020</w:t>
            </w:r>
          </w:p>
        </w:tc>
        <w:tc>
          <w:tcPr>
            <w:tcW w:w="1417" w:type="dxa"/>
          </w:tcPr>
          <w:p w14:paraId="2D79F894" w14:textId="7854264C" w:rsidR="00320B70" w:rsidRDefault="00320B70" w:rsidP="00320B70">
            <w:pPr>
              <w:jc w:val="center"/>
              <w:rPr>
                <w:rFonts w:eastAsiaTheme="minorHAnsi"/>
              </w:rPr>
            </w:pPr>
            <w:r>
              <w:rPr>
                <w:rFonts w:cs="Arial"/>
                <w:color w:val="000000"/>
              </w:rPr>
              <w:t>71.6%</w:t>
            </w:r>
          </w:p>
        </w:tc>
        <w:tc>
          <w:tcPr>
            <w:tcW w:w="1398" w:type="dxa"/>
          </w:tcPr>
          <w:p w14:paraId="580C366B" w14:textId="02B20EBB" w:rsidR="00320B70" w:rsidRDefault="00320B70" w:rsidP="00320B70">
            <w:pPr>
              <w:jc w:val="center"/>
              <w:rPr>
                <w:rFonts w:eastAsiaTheme="minorHAnsi"/>
              </w:rPr>
            </w:pPr>
            <w:r>
              <w:rPr>
                <w:rFonts w:cs="Arial"/>
                <w:color w:val="000000"/>
              </w:rPr>
              <w:t>71.2%</w:t>
            </w:r>
          </w:p>
        </w:tc>
        <w:tc>
          <w:tcPr>
            <w:tcW w:w="1456" w:type="dxa"/>
          </w:tcPr>
          <w:p w14:paraId="309B7879" w14:textId="05D77F79" w:rsidR="00320B70" w:rsidRDefault="00320B70" w:rsidP="00320B70">
            <w:pPr>
              <w:jc w:val="center"/>
              <w:rPr>
                <w:rFonts w:eastAsiaTheme="minorHAnsi"/>
              </w:rPr>
            </w:pPr>
            <w:r>
              <w:rPr>
                <w:rFonts w:cs="Arial"/>
                <w:color w:val="000000"/>
              </w:rPr>
              <w:t>26.7%</w:t>
            </w:r>
          </w:p>
        </w:tc>
        <w:tc>
          <w:tcPr>
            <w:tcW w:w="1682" w:type="dxa"/>
          </w:tcPr>
          <w:p w14:paraId="5E1902CA" w14:textId="79292CE8" w:rsidR="00320B70" w:rsidRDefault="00320B70" w:rsidP="00320B70">
            <w:pPr>
              <w:jc w:val="center"/>
              <w:rPr>
                <w:rFonts w:eastAsiaTheme="minorHAnsi"/>
              </w:rPr>
            </w:pPr>
            <w:r>
              <w:rPr>
                <w:rFonts w:cs="Arial"/>
                <w:color w:val="000000"/>
              </w:rPr>
              <w:t>27.1%</w:t>
            </w:r>
          </w:p>
        </w:tc>
        <w:tc>
          <w:tcPr>
            <w:tcW w:w="1230" w:type="dxa"/>
          </w:tcPr>
          <w:p w14:paraId="0017FE37" w14:textId="6AC92497" w:rsidR="00320B70" w:rsidRDefault="00320B70" w:rsidP="00320B70">
            <w:pPr>
              <w:jc w:val="center"/>
              <w:rPr>
                <w:rFonts w:eastAsiaTheme="minorHAnsi"/>
              </w:rPr>
            </w:pPr>
            <w:r>
              <w:rPr>
                <w:rFonts w:cs="Arial"/>
                <w:color w:val="000000"/>
              </w:rPr>
              <w:t>2.3%</w:t>
            </w:r>
          </w:p>
        </w:tc>
        <w:tc>
          <w:tcPr>
            <w:tcW w:w="1456" w:type="dxa"/>
          </w:tcPr>
          <w:p w14:paraId="3B42181D" w14:textId="73457F54" w:rsidR="00320B70" w:rsidRDefault="00320B70" w:rsidP="00320B70">
            <w:pPr>
              <w:jc w:val="center"/>
              <w:rPr>
                <w:rFonts w:eastAsiaTheme="minorHAnsi"/>
              </w:rPr>
            </w:pPr>
            <w:r>
              <w:rPr>
                <w:rFonts w:cs="Arial"/>
                <w:color w:val="000000"/>
              </w:rPr>
              <w:t>2.3%</w:t>
            </w:r>
          </w:p>
        </w:tc>
      </w:tr>
      <w:tr w:rsidR="00320B70" w14:paraId="457752BF" w14:textId="77777777" w:rsidTr="00D76468">
        <w:tc>
          <w:tcPr>
            <w:tcW w:w="1555" w:type="dxa"/>
          </w:tcPr>
          <w:p w14:paraId="36386F82" w14:textId="37BBEB0B" w:rsidR="00320B70" w:rsidRDefault="00320B70" w:rsidP="00320B70">
            <w:pPr>
              <w:rPr>
                <w:rFonts w:eastAsiaTheme="minorHAnsi"/>
              </w:rPr>
            </w:pPr>
            <w:r w:rsidRPr="002852F1">
              <w:t>Mar-May 2020</w:t>
            </w:r>
          </w:p>
        </w:tc>
        <w:tc>
          <w:tcPr>
            <w:tcW w:w="1417" w:type="dxa"/>
          </w:tcPr>
          <w:p w14:paraId="2E1A9D6D" w14:textId="5233AC58" w:rsidR="00320B70" w:rsidRDefault="00320B70" w:rsidP="00320B70">
            <w:pPr>
              <w:jc w:val="center"/>
              <w:rPr>
                <w:rFonts w:eastAsiaTheme="minorHAnsi"/>
              </w:rPr>
            </w:pPr>
            <w:r>
              <w:rPr>
                <w:rFonts w:cs="Arial"/>
                <w:color w:val="000000"/>
              </w:rPr>
              <w:t>71.6%</w:t>
            </w:r>
          </w:p>
        </w:tc>
        <w:tc>
          <w:tcPr>
            <w:tcW w:w="1398" w:type="dxa"/>
          </w:tcPr>
          <w:p w14:paraId="303BBA0C" w14:textId="572BB4DC" w:rsidR="00320B70" w:rsidRDefault="00320B70" w:rsidP="00320B70">
            <w:pPr>
              <w:jc w:val="center"/>
              <w:rPr>
                <w:rFonts w:eastAsiaTheme="minorHAnsi"/>
              </w:rPr>
            </w:pPr>
            <w:r>
              <w:rPr>
                <w:rFonts w:cs="Arial"/>
                <w:color w:val="000000"/>
              </w:rPr>
              <w:t>70.9%</w:t>
            </w:r>
          </w:p>
        </w:tc>
        <w:tc>
          <w:tcPr>
            <w:tcW w:w="1456" w:type="dxa"/>
          </w:tcPr>
          <w:p w14:paraId="09493FEC" w14:textId="4A2B9E73" w:rsidR="00320B70" w:rsidRDefault="00320B70" w:rsidP="00320B70">
            <w:pPr>
              <w:jc w:val="center"/>
              <w:rPr>
                <w:rFonts w:eastAsiaTheme="minorHAnsi"/>
              </w:rPr>
            </w:pPr>
            <w:r>
              <w:rPr>
                <w:rFonts w:cs="Arial"/>
                <w:color w:val="000000"/>
              </w:rPr>
              <w:t>26.6%</w:t>
            </w:r>
          </w:p>
        </w:tc>
        <w:tc>
          <w:tcPr>
            <w:tcW w:w="1682" w:type="dxa"/>
          </w:tcPr>
          <w:p w14:paraId="37B54306" w14:textId="3EE144E3" w:rsidR="00320B70" w:rsidRDefault="00320B70" w:rsidP="00320B70">
            <w:pPr>
              <w:jc w:val="center"/>
              <w:rPr>
                <w:rFonts w:eastAsiaTheme="minorHAnsi"/>
              </w:rPr>
            </w:pPr>
            <w:r>
              <w:rPr>
                <w:rFonts w:cs="Arial"/>
                <w:color w:val="000000"/>
              </w:rPr>
              <w:t>27.3%</w:t>
            </w:r>
          </w:p>
        </w:tc>
        <w:tc>
          <w:tcPr>
            <w:tcW w:w="1230" w:type="dxa"/>
          </w:tcPr>
          <w:p w14:paraId="56BD0D9E" w14:textId="5C395415" w:rsidR="00320B70" w:rsidRDefault="00320B70" w:rsidP="00320B70">
            <w:pPr>
              <w:jc w:val="center"/>
              <w:rPr>
                <w:rFonts w:eastAsiaTheme="minorHAnsi"/>
              </w:rPr>
            </w:pPr>
            <w:r>
              <w:rPr>
                <w:rFonts w:cs="Arial"/>
                <w:color w:val="000000"/>
              </w:rPr>
              <w:t>2.4%</w:t>
            </w:r>
          </w:p>
        </w:tc>
        <w:tc>
          <w:tcPr>
            <w:tcW w:w="1456" w:type="dxa"/>
          </w:tcPr>
          <w:p w14:paraId="4E163836" w14:textId="3878FCA3" w:rsidR="00320B70" w:rsidRDefault="00320B70" w:rsidP="00320B70">
            <w:pPr>
              <w:jc w:val="center"/>
              <w:rPr>
                <w:rFonts w:eastAsiaTheme="minorHAnsi"/>
              </w:rPr>
            </w:pPr>
            <w:r>
              <w:rPr>
                <w:rFonts w:cs="Arial"/>
                <w:color w:val="000000"/>
              </w:rPr>
              <w:t>2.4%</w:t>
            </w:r>
          </w:p>
        </w:tc>
      </w:tr>
      <w:tr w:rsidR="00320B70" w14:paraId="6C4DABF8" w14:textId="77777777" w:rsidTr="00D76468">
        <w:tc>
          <w:tcPr>
            <w:tcW w:w="1555" w:type="dxa"/>
          </w:tcPr>
          <w:p w14:paraId="0DAE4F25" w14:textId="00F55271" w:rsidR="00320B70" w:rsidRDefault="00320B70" w:rsidP="00320B70">
            <w:pPr>
              <w:rPr>
                <w:rFonts w:eastAsiaTheme="minorHAnsi"/>
              </w:rPr>
            </w:pPr>
            <w:r w:rsidRPr="002852F1">
              <w:t>Apr-Jun 2020</w:t>
            </w:r>
          </w:p>
        </w:tc>
        <w:tc>
          <w:tcPr>
            <w:tcW w:w="1417" w:type="dxa"/>
          </w:tcPr>
          <w:p w14:paraId="731EE52D" w14:textId="2B2B08E9" w:rsidR="00320B70" w:rsidRDefault="00320B70" w:rsidP="00320B70">
            <w:pPr>
              <w:jc w:val="center"/>
              <w:rPr>
                <w:rFonts w:eastAsiaTheme="minorHAnsi"/>
              </w:rPr>
            </w:pPr>
            <w:r>
              <w:rPr>
                <w:rFonts w:cs="Arial"/>
                <w:color w:val="000000"/>
              </w:rPr>
              <w:t>71.7%</w:t>
            </w:r>
          </w:p>
        </w:tc>
        <w:tc>
          <w:tcPr>
            <w:tcW w:w="1398" w:type="dxa"/>
          </w:tcPr>
          <w:p w14:paraId="551FFDCA" w14:textId="2FC23694" w:rsidR="00320B70" w:rsidRDefault="00320B70" w:rsidP="00320B70">
            <w:pPr>
              <w:jc w:val="center"/>
              <w:rPr>
                <w:rFonts w:eastAsiaTheme="minorHAnsi"/>
              </w:rPr>
            </w:pPr>
            <w:r>
              <w:rPr>
                <w:rFonts w:cs="Arial"/>
                <w:color w:val="000000"/>
              </w:rPr>
              <w:t>71.0%</w:t>
            </w:r>
          </w:p>
        </w:tc>
        <w:tc>
          <w:tcPr>
            <w:tcW w:w="1456" w:type="dxa"/>
          </w:tcPr>
          <w:p w14:paraId="7CE2CF9D" w14:textId="55A0D8B6" w:rsidR="00320B70" w:rsidRDefault="00320B70" w:rsidP="00320B70">
            <w:pPr>
              <w:jc w:val="center"/>
              <w:rPr>
                <w:rFonts w:eastAsiaTheme="minorHAnsi"/>
              </w:rPr>
            </w:pPr>
            <w:r>
              <w:rPr>
                <w:rFonts w:cs="Arial"/>
                <w:color w:val="000000"/>
              </w:rPr>
              <w:t>26.4%</w:t>
            </w:r>
          </w:p>
        </w:tc>
        <w:tc>
          <w:tcPr>
            <w:tcW w:w="1682" w:type="dxa"/>
          </w:tcPr>
          <w:p w14:paraId="06B3D3B0" w14:textId="12ACE652" w:rsidR="00320B70" w:rsidRDefault="00320B70" w:rsidP="00320B70">
            <w:pPr>
              <w:jc w:val="center"/>
              <w:rPr>
                <w:rFonts w:eastAsiaTheme="minorHAnsi"/>
              </w:rPr>
            </w:pPr>
            <w:r>
              <w:rPr>
                <w:rFonts w:cs="Arial"/>
                <w:color w:val="000000"/>
              </w:rPr>
              <w:t>27.1%</w:t>
            </w:r>
          </w:p>
        </w:tc>
        <w:tc>
          <w:tcPr>
            <w:tcW w:w="1230" w:type="dxa"/>
          </w:tcPr>
          <w:p w14:paraId="4724AB06" w14:textId="15BFB96B" w:rsidR="00320B70" w:rsidRDefault="00320B70" w:rsidP="00320B70">
            <w:pPr>
              <w:jc w:val="center"/>
              <w:rPr>
                <w:rFonts w:eastAsiaTheme="minorHAnsi"/>
              </w:rPr>
            </w:pPr>
            <w:r>
              <w:rPr>
                <w:rFonts w:cs="Arial"/>
                <w:color w:val="000000"/>
              </w:rPr>
              <w:t>2.5%</w:t>
            </w:r>
          </w:p>
        </w:tc>
        <w:tc>
          <w:tcPr>
            <w:tcW w:w="1456" w:type="dxa"/>
          </w:tcPr>
          <w:p w14:paraId="034AEC08" w14:textId="5D61E295" w:rsidR="00320B70" w:rsidRDefault="00320B70" w:rsidP="00320B70">
            <w:pPr>
              <w:jc w:val="center"/>
              <w:rPr>
                <w:rFonts w:eastAsiaTheme="minorHAnsi"/>
              </w:rPr>
            </w:pPr>
            <w:r>
              <w:rPr>
                <w:rFonts w:cs="Arial"/>
                <w:color w:val="000000"/>
              </w:rPr>
              <w:t>2.5%</w:t>
            </w:r>
          </w:p>
        </w:tc>
      </w:tr>
      <w:tr w:rsidR="00320B70" w14:paraId="50E1FCC1" w14:textId="77777777" w:rsidTr="00D76468">
        <w:tc>
          <w:tcPr>
            <w:tcW w:w="1555" w:type="dxa"/>
          </w:tcPr>
          <w:p w14:paraId="5D136F21" w14:textId="1A28C355" w:rsidR="00320B70" w:rsidRDefault="00320B70" w:rsidP="00320B70">
            <w:pPr>
              <w:rPr>
                <w:rFonts w:eastAsiaTheme="minorHAnsi"/>
              </w:rPr>
            </w:pPr>
            <w:r w:rsidRPr="002852F1">
              <w:t>May-Jul 2020</w:t>
            </w:r>
          </w:p>
        </w:tc>
        <w:tc>
          <w:tcPr>
            <w:tcW w:w="1417" w:type="dxa"/>
          </w:tcPr>
          <w:p w14:paraId="4D9B3CDF" w14:textId="64E874EB" w:rsidR="00320B70" w:rsidRDefault="00320B70" w:rsidP="00320B70">
            <w:pPr>
              <w:jc w:val="center"/>
              <w:rPr>
                <w:rFonts w:eastAsiaTheme="minorHAnsi"/>
              </w:rPr>
            </w:pPr>
            <w:r>
              <w:rPr>
                <w:rFonts w:cs="Arial"/>
                <w:color w:val="000000"/>
              </w:rPr>
              <w:t>71.5%</w:t>
            </w:r>
          </w:p>
        </w:tc>
        <w:tc>
          <w:tcPr>
            <w:tcW w:w="1398" w:type="dxa"/>
          </w:tcPr>
          <w:p w14:paraId="577B28D4" w14:textId="03299F6E" w:rsidR="00320B70" w:rsidRDefault="00320B70" w:rsidP="00320B70">
            <w:pPr>
              <w:jc w:val="center"/>
              <w:rPr>
                <w:rFonts w:eastAsiaTheme="minorHAnsi"/>
              </w:rPr>
            </w:pPr>
            <w:r>
              <w:rPr>
                <w:rFonts w:cs="Arial"/>
                <w:color w:val="000000"/>
              </w:rPr>
              <w:t>70.4%</w:t>
            </w:r>
          </w:p>
        </w:tc>
        <w:tc>
          <w:tcPr>
            <w:tcW w:w="1456" w:type="dxa"/>
          </w:tcPr>
          <w:p w14:paraId="2ADA237C" w14:textId="208EC6B1" w:rsidR="00320B70" w:rsidRDefault="00320B70" w:rsidP="00320B70">
            <w:pPr>
              <w:jc w:val="center"/>
              <w:rPr>
                <w:rFonts w:eastAsiaTheme="minorHAnsi"/>
              </w:rPr>
            </w:pPr>
            <w:r>
              <w:rPr>
                <w:rFonts w:cs="Arial"/>
                <w:color w:val="000000"/>
              </w:rPr>
              <w:t>26.3%</w:t>
            </w:r>
          </w:p>
        </w:tc>
        <w:tc>
          <w:tcPr>
            <w:tcW w:w="1682" w:type="dxa"/>
          </w:tcPr>
          <w:p w14:paraId="0D90170E" w14:textId="002A2C4F" w:rsidR="00320B70" w:rsidRDefault="00320B70" w:rsidP="00320B70">
            <w:pPr>
              <w:jc w:val="center"/>
              <w:rPr>
                <w:rFonts w:eastAsiaTheme="minorHAnsi"/>
              </w:rPr>
            </w:pPr>
            <w:r>
              <w:rPr>
                <w:rFonts w:cs="Arial"/>
                <w:color w:val="000000"/>
              </w:rPr>
              <w:t>27.3%</w:t>
            </w:r>
          </w:p>
        </w:tc>
        <w:tc>
          <w:tcPr>
            <w:tcW w:w="1230" w:type="dxa"/>
          </w:tcPr>
          <w:p w14:paraId="7F10D7E7" w14:textId="303770D5" w:rsidR="00320B70" w:rsidRDefault="00320B70" w:rsidP="00320B70">
            <w:pPr>
              <w:jc w:val="center"/>
              <w:rPr>
                <w:rFonts w:eastAsiaTheme="minorHAnsi"/>
              </w:rPr>
            </w:pPr>
            <w:r>
              <w:rPr>
                <w:rFonts w:cs="Arial"/>
                <w:color w:val="000000"/>
              </w:rPr>
              <w:t>2.9%</w:t>
            </w:r>
          </w:p>
        </w:tc>
        <w:tc>
          <w:tcPr>
            <w:tcW w:w="1456" w:type="dxa"/>
          </w:tcPr>
          <w:p w14:paraId="6BD120BE" w14:textId="7563DE54" w:rsidR="00320B70" w:rsidRDefault="00320B70" w:rsidP="00320B70">
            <w:pPr>
              <w:jc w:val="center"/>
              <w:rPr>
                <w:rFonts w:eastAsiaTheme="minorHAnsi"/>
              </w:rPr>
            </w:pPr>
            <w:r>
              <w:rPr>
                <w:rFonts w:cs="Arial"/>
                <w:color w:val="000000"/>
              </w:rPr>
              <w:t>3.0%</w:t>
            </w:r>
          </w:p>
        </w:tc>
      </w:tr>
    </w:tbl>
    <w:p w14:paraId="790718C9" w14:textId="13647842" w:rsidR="002F0DF2" w:rsidRDefault="002240F4" w:rsidP="00BF2CBA">
      <w:pPr>
        <w:rPr>
          <w:rFonts w:eastAsiaTheme="minorHAnsi"/>
        </w:rPr>
      </w:pPr>
      <w:r w:rsidRPr="00702341">
        <w:rPr>
          <w:noProof/>
          <w:szCs w:val="22"/>
          <w:lang w:eastAsia="en-GB"/>
        </w:rPr>
        <mc:AlternateContent>
          <mc:Choice Requires="wpg">
            <w:drawing>
              <wp:anchor distT="0" distB="0" distL="114300" distR="114300" simplePos="0" relativeHeight="251750400" behindDoc="0" locked="0" layoutInCell="1" allowOverlap="1" wp14:anchorId="206AB888" wp14:editId="6ACE5885">
                <wp:simplePos x="0" y="0"/>
                <wp:positionH relativeFrom="margin">
                  <wp:align>left</wp:align>
                </wp:positionH>
                <wp:positionV relativeFrom="paragraph">
                  <wp:posOffset>105880</wp:posOffset>
                </wp:positionV>
                <wp:extent cx="6555105" cy="1"/>
                <wp:effectExtent l="0" t="19050" r="36195" b="38100"/>
                <wp:wrapNone/>
                <wp:docPr id="8" name="Group 8" title="Decorative table title underline"/>
                <wp:cNvGraphicFramePr/>
                <a:graphic xmlns:a="http://schemas.openxmlformats.org/drawingml/2006/main">
                  <a:graphicData uri="http://schemas.microsoft.com/office/word/2010/wordprocessingGroup">
                    <wpg:wgp>
                      <wpg:cNvGrpSpPr/>
                      <wpg:grpSpPr>
                        <a:xfrm>
                          <a:off x="0" y="0"/>
                          <a:ext cx="6555105" cy="1"/>
                          <a:chOff x="0" y="-1"/>
                          <a:chExt cx="6555105" cy="1"/>
                        </a:xfrm>
                      </wpg:grpSpPr>
                      <wps:wsp>
                        <wps:cNvPr id="9" name="Straight Arrow Connector 9" descr="Title underline&#10;"/>
                        <wps:cNvCnPr>
                          <a:cxnSpLocks noChangeShapeType="1"/>
                        </wps:cNvCnPr>
                        <wps:spPr bwMode="auto">
                          <a:xfrm>
                            <a:off x="0" y="0"/>
                            <a:ext cx="2237740" cy="0"/>
                          </a:xfrm>
                          <a:prstGeom prst="straightConnector1">
                            <a:avLst/>
                          </a:prstGeom>
                          <a:noFill/>
                          <a:ln w="57150">
                            <a:solidFill>
                              <a:srgbClr val="CEDC00"/>
                            </a:solidFill>
                            <a:round/>
                            <a:headEnd/>
                            <a:tailEnd/>
                          </a:ln>
                          <a:extLst>
                            <a:ext uri="{909E8E84-426E-40DD-AFC4-6F175D3DCCD1}">
                              <a14:hiddenFill xmlns:a14="http://schemas.microsoft.com/office/drawing/2010/main">
                                <a:noFill/>
                              </a14:hiddenFill>
                            </a:ext>
                          </a:extLst>
                        </wps:spPr>
                        <wps:bodyPr/>
                      </wps:wsp>
                      <wps:wsp>
                        <wps:cNvPr id="10" name="Straight Arrow Connector 10" descr="Title underline"/>
                        <wps:cNvCnPr>
                          <a:cxnSpLocks noChangeShapeType="1"/>
                        </wps:cNvCnPr>
                        <wps:spPr bwMode="auto">
                          <a:xfrm>
                            <a:off x="2073349" y="0"/>
                            <a:ext cx="2238375" cy="0"/>
                          </a:xfrm>
                          <a:prstGeom prst="straightConnector1">
                            <a:avLst/>
                          </a:prstGeom>
                          <a:noFill/>
                          <a:ln w="57150">
                            <a:solidFill>
                              <a:srgbClr val="407EC9"/>
                            </a:solidFill>
                            <a:round/>
                            <a:headEnd/>
                            <a:tailEnd/>
                          </a:ln>
                          <a:extLst>
                            <a:ext uri="{909E8E84-426E-40DD-AFC4-6F175D3DCCD1}">
                              <a14:hiddenFill xmlns:a14="http://schemas.microsoft.com/office/drawing/2010/main">
                                <a:noFill/>
                              </a14:hiddenFill>
                            </a:ext>
                          </a:extLst>
                        </wps:spPr>
                        <wps:bodyPr/>
                      </wps:wsp>
                      <wps:wsp>
                        <wps:cNvPr id="11" name="Straight Arrow Connector 11" descr="Title underline"/>
                        <wps:cNvCnPr>
                          <a:cxnSpLocks noChangeShapeType="1"/>
                        </wps:cNvCnPr>
                        <wps:spPr bwMode="auto">
                          <a:xfrm>
                            <a:off x="3990054" y="-1"/>
                            <a:ext cx="2565051" cy="0"/>
                          </a:xfrm>
                          <a:prstGeom prst="straightConnector1">
                            <a:avLst/>
                          </a:prstGeom>
                          <a:noFill/>
                          <a:ln w="57150">
                            <a:solidFill>
                              <a:srgbClr val="00205B"/>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7DD0E92" id="Group 8" o:spid="_x0000_s1026" alt="Title: Decorative table title underline" style="position:absolute;margin-left:0;margin-top:8.35pt;width:516.15pt;height:0;z-index:251750400;mso-position-horizontal:left;mso-position-horizontal-relative:margin" coordorigin="" coordsize="65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">
                <v:shape id="Straight Arrow Connector 9" o:spid="_x0000_s1027" type="#_x0000_t32" alt="Title underline&#10;" style="position:absolute;width:223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nwYcMAAADaAAAADwAAAGRycy9kb3ducmV2LnhtbESPT2sCMRTE7wW/Q3iCt5pVbNXVKCoU&#10;epCCf9DrY/PcrG5elk3UrZ/eFAoeh5n5DTOdN7YUN6p94VhBr5uAIM6cLjhXsN99vY9A+ICssXRM&#10;Cn7Jw3zWeptiqt2dN3TbhlxECPsUFZgQqlRKnxmy6LuuIo7eydUWQ5R1LnWN9wi3pewnyae0WHBc&#10;MFjRylB22V6tAv/o8YcZ8nm8Xi/10QwoP6x+lOq0m8UERKAmvML/7W+tYAx/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p8GHDAAAA2gAAAA8AAAAAAAAAAAAA&#10;AAAAoQIAAGRycy9kb3ducmV2LnhtbFBLBQYAAAAABAAEAPkAAACRAwAAAAA=&#10;" strokecolor="#cedc00" strokeweight="4.5pt"/>
                <v:shape id="Straight Arrow Connector 10" o:spid="_x0000_s1028" type="#_x0000_t32" alt="Title underline" style="position:absolute;left:20733;width:223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TlVsUAAADbAAAADwAAAGRycy9kb3ducmV2LnhtbESPT2vCQBDF70K/wzKF3pqNPYikrkEL&#10;hULxoFZLb9Ps5I9mZ9PsVuO3dw6Ctxnem/d+M8sH16oT9aHxbGCcpKCIC28brgx8bd+fp6BCRLbY&#10;eiYDFwqQzx9GM8ysP/OaTptYKQnhkKGBOsYu0zoUNTkMie+IRSt97zDK2lfa9niWcNfqlzSdaIcN&#10;S0ONHb3VVBw3/87A/njB8bf+3YWfz8PyMJR/62aFxjw9DotXUJGGeDffrj+s4Au9/CID6P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TlVsUAAADbAAAADwAAAAAAAAAA&#10;AAAAAAChAgAAZHJzL2Rvd25yZXYueG1sUEsFBgAAAAAEAAQA+QAAAJMDAAAAAA==&#10;" strokecolor="#407ec9" strokeweight="4.5pt"/>
                <v:shape id="Straight Arrow Connector 11" o:spid="_x0000_s1029" type="#_x0000_t32" alt="Title underline" style="position:absolute;left:39900;width:256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tJ0sEAAADbAAAADwAAAGRycy9kb3ducmV2LnhtbESPQYvCMBCF74L/IYywtzVVXCm1UUQo&#10;eNXdwx6HZkxLk0ltotZ/bxYWvM3w3vvmTbkbnRV3GkLrWcFinoEgrr1u2Sj4+a4+cxAhImu0nknB&#10;kwLsttNJiYX2Dz7R/RyNSBAOBSpoYuwLKUPdkMMw9z1x0i5+cBjTOhipB3wkuLNymWVr6bDldKHB&#10;ng4N1d355hLlplex/qp+n1drO5NfbLs2lVIfs3G/ARFpjG/zf/qoU/0F/P2SBpD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S0nSwQAAANsAAAAPAAAAAAAAAAAAAAAA&#10;AKECAABkcnMvZG93bnJldi54bWxQSwUGAAAAAAQABAD5AAAAjwMAAAAA&#10;" strokecolor="#00205b" strokeweight="4.5pt"/>
                <w10:wrap anchorx="margin"/>
              </v:group>
            </w:pict>
          </mc:Fallback>
        </mc:AlternateContent>
      </w:r>
    </w:p>
    <w:p w14:paraId="6AE01966" w14:textId="615F0B9F" w:rsidR="002F0DF2" w:rsidRPr="002F0DF2" w:rsidRDefault="002F0DF2" w:rsidP="002F0DF2">
      <w:pPr>
        <w:rPr>
          <w:rFonts w:eastAsiaTheme="minorHAnsi"/>
        </w:rPr>
      </w:pPr>
    </w:p>
    <w:p w14:paraId="2D4D1173" w14:textId="164DAC74" w:rsidR="002F0DF2" w:rsidRPr="002F0DF2" w:rsidRDefault="008A7D7B" w:rsidP="002F0DF2">
      <w:pPr>
        <w:rPr>
          <w:sz w:val="16"/>
          <w:szCs w:val="16"/>
        </w:rPr>
      </w:pPr>
      <w:r w:rsidRPr="00D249A2">
        <w:rPr>
          <w:rFonts w:cs="Arial"/>
          <w:b/>
          <w:noProof/>
          <w:lang w:eastAsia="en-GB"/>
        </w:rPr>
        <w:drawing>
          <wp:anchor distT="0" distB="0" distL="114300" distR="114300" simplePos="0" relativeHeight="251752448" behindDoc="0" locked="0" layoutInCell="1" allowOverlap="1" wp14:anchorId="2B2D9FF6" wp14:editId="1D96732D">
            <wp:simplePos x="0" y="0"/>
            <wp:positionH relativeFrom="column">
              <wp:posOffset>5430741</wp:posOffset>
            </wp:positionH>
            <wp:positionV relativeFrom="paragraph">
              <wp:posOffset>12038</wp:posOffset>
            </wp:positionV>
            <wp:extent cx="1104900" cy="209550"/>
            <wp:effectExtent l="0" t="0" r="0" b="0"/>
            <wp:wrapNone/>
            <wp:docPr id="12" name="Object 1" title="Download in excel link box">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descr="cid:image001.png@01D07C26.A0A73AE0"/>
                    <pic:cNvPicPr>
                      <a:picLocks noChangeAspect="1" noChangeArrowheads="1"/>
                    </pic:cNvPicPr>
                  </pic:nvPicPr>
                  <pic:blipFill>
                    <a:blip r:embed="rId15" r:link="rId16" cstate="print"/>
                    <a:srcRect/>
                    <a:stretch>
                      <a:fillRect/>
                    </a:stretch>
                  </pic:blipFill>
                  <pic:spPr bwMode="auto">
                    <a:xfrm>
                      <a:off x="0" y="0"/>
                      <a:ext cx="1104900" cy="209550"/>
                    </a:xfrm>
                    <a:prstGeom prst="rect">
                      <a:avLst/>
                    </a:prstGeom>
                    <a:noFill/>
                    <a:ln w="9525">
                      <a:noFill/>
                      <a:miter lim="800000"/>
                      <a:headEnd/>
                      <a:tailEnd/>
                    </a:ln>
                  </pic:spPr>
                </pic:pic>
              </a:graphicData>
            </a:graphic>
          </wp:anchor>
        </w:drawing>
      </w:r>
      <w:r w:rsidR="002F0DF2" w:rsidRPr="002F0DF2">
        <w:rPr>
          <w:sz w:val="16"/>
          <w:szCs w:val="16"/>
        </w:rPr>
        <w:t>LFS data are seasonally adjusted</w:t>
      </w:r>
    </w:p>
    <w:p w14:paraId="43BE9A67" w14:textId="77777777" w:rsidR="00D76468" w:rsidRDefault="002F0DF2" w:rsidP="002F0DF2">
      <w:pPr>
        <w:rPr>
          <w:sz w:val="16"/>
          <w:szCs w:val="16"/>
        </w:rPr>
      </w:pPr>
      <w:r w:rsidRPr="002F0DF2">
        <w:rPr>
          <w:sz w:val="16"/>
          <w:szCs w:val="16"/>
          <w:vertAlign w:val="superscript"/>
        </w:rPr>
        <w:t>1</w:t>
      </w:r>
      <w:r>
        <w:rPr>
          <w:sz w:val="16"/>
          <w:szCs w:val="16"/>
        </w:rPr>
        <w:t xml:space="preserve"> </w:t>
      </w:r>
      <w:r w:rsidRPr="00D82ED7">
        <w:rPr>
          <w:sz w:val="16"/>
          <w:szCs w:val="16"/>
        </w:rPr>
        <w:t>People aged 16 and over. Unemployment rate = total unemployed as a proportion of the economically active.</w:t>
      </w:r>
    </w:p>
    <w:p w14:paraId="742D746C" w14:textId="77777777" w:rsidR="00D76468" w:rsidRDefault="00D76468" w:rsidP="002F0DF2">
      <w:pPr>
        <w:rPr>
          <w:sz w:val="16"/>
          <w:szCs w:val="16"/>
        </w:rPr>
      </w:pPr>
    </w:p>
    <w:p w14:paraId="3B0B3009" w14:textId="0236321F" w:rsidR="002F0DF2" w:rsidRPr="002F0DF2" w:rsidRDefault="00D76468" w:rsidP="002F0DF2">
      <w:pPr>
        <w:rPr>
          <w:rFonts w:eastAsiaTheme="minorHAnsi"/>
        </w:rPr>
      </w:pPr>
      <w:r w:rsidRPr="002F0DF2">
        <w:rPr>
          <w:rFonts w:eastAsiaTheme="minorHAnsi"/>
        </w:rPr>
        <w:t xml:space="preserve"> </w:t>
      </w:r>
    </w:p>
    <w:p w14:paraId="7646DA65" w14:textId="6B9F8C27" w:rsidR="002F0DF2" w:rsidRPr="00C34158" w:rsidRDefault="00C34158" w:rsidP="002F0DF2">
      <w:pPr>
        <w:rPr>
          <w:rFonts w:eastAsiaTheme="minorHAnsi"/>
          <w:b/>
          <w:sz w:val="20"/>
        </w:rPr>
      </w:pPr>
      <w:r w:rsidRPr="00C34158">
        <w:rPr>
          <w:rFonts w:eastAsiaTheme="minorHAnsi"/>
          <w:b/>
          <w:sz w:val="20"/>
        </w:rPr>
        <w:t>Notes</w:t>
      </w:r>
    </w:p>
    <w:p w14:paraId="233CAF51" w14:textId="3F6F5887" w:rsidR="00025FEB" w:rsidRPr="002F0DF2" w:rsidRDefault="00C34158" w:rsidP="00D76468">
      <w:pPr>
        <w:rPr>
          <w:rFonts w:eastAsiaTheme="minorHAnsi"/>
        </w:rPr>
      </w:pPr>
      <w:r w:rsidRPr="00C34158">
        <w:rPr>
          <w:rFonts w:eastAsiaTheme="minorHAnsi"/>
          <w:sz w:val="20"/>
        </w:rPr>
        <w:t>Data in graphs and quoted differences between revised and previously published data based on unrounded data.</w:t>
      </w:r>
    </w:p>
    <w:sectPr w:rsidR="00025FEB" w:rsidRPr="002F0DF2" w:rsidSect="00DC6995">
      <w:headerReference w:type="default" r:id="rId17"/>
      <w:footerReference w:type="default" r:id="rId18"/>
      <w:pgSz w:w="11906" w:h="16838"/>
      <w:pgMar w:top="720" w:right="851" w:bottom="567" w:left="851" w:header="709" w:footer="2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4155B" w14:textId="77777777" w:rsidR="00761D66" w:rsidRDefault="00761D66" w:rsidP="00BF2CBA">
      <w:r>
        <w:separator/>
      </w:r>
    </w:p>
    <w:p w14:paraId="26E428FD" w14:textId="77777777" w:rsidR="00761D66" w:rsidRDefault="00761D66" w:rsidP="00BF2CBA"/>
  </w:endnote>
  <w:endnote w:type="continuationSeparator" w:id="0">
    <w:p w14:paraId="56520C47" w14:textId="77777777" w:rsidR="00761D66" w:rsidRDefault="00761D66" w:rsidP="00BF2CBA">
      <w:r>
        <w:continuationSeparator/>
      </w:r>
    </w:p>
    <w:p w14:paraId="24ADDF1B" w14:textId="77777777" w:rsidR="00761D66" w:rsidRDefault="00761D66" w:rsidP="00BF2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TCFranklinGothic LT Demi">
    <w:altName w:val="Courier New"/>
    <w:panose1 w:val="00000000000000000000"/>
    <w:charset w:val="00"/>
    <w:family w:val="roman"/>
    <w:notTrueType/>
    <w:pitch w:val="variable"/>
    <w:sig w:usb0="00000001" w:usb1="00000000" w:usb2="00000000" w:usb3="00000000" w:csb0="00000009" w:csb1="00000000"/>
  </w:font>
  <w:font w:name="ITCFranklinGothic LT Book">
    <w:altName w:val="Courier New"/>
    <w:panose1 w:val="00000000000000000000"/>
    <w:charset w:val="00"/>
    <w:family w:val="roman"/>
    <w:notTrueType/>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0FAE6" w14:textId="77777777" w:rsidR="00073DD9" w:rsidRDefault="00B230C8" w:rsidP="00215851">
    <w:pPr>
      <w:pStyle w:val="Footer"/>
      <w:jc w:val="right"/>
    </w:pPr>
    <w:r>
      <w:rPr>
        <w:sz w:val="20"/>
        <w14:shadow w14:blurRad="50800" w14:dist="50800" w14:dir="5400000" w14:sx="0" w14:sy="0" w14:kx="0" w14:ky="0" w14:algn="ctr">
          <w14:srgbClr w14:val="000000">
            <w14:alpha w14:val="100000"/>
          </w14:srgbClr>
        </w14:shadow>
      </w:rPr>
      <w:t>Pa</w:t>
    </w:r>
    <w:r w:rsidR="00073DD9" w:rsidRPr="00F86E96">
      <w:rPr>
        <w:sz w:val="20"/>
        <w14:shadow w14:blurRad="50800" w14:dist="50800" w14:dir="5400000" w14:sx="0" w14:sy="0" w14:kx="0" w14:ky="0" w14:algn="ctr">
          <w14:srgbClr w14:val="000000">
            <w14:alpha w14:val="100000"/>
          </w14:srgbClr>
        </w14:shadow>
      </w:rPr>
      <w:t xml:space="preserve">ge </w:t>
    </w:r>
    <w:r w:rsidR="00073DD9" w:rsidRPr="00F86E96">
      <w:rPr>
        <w:sz w:val="20"/>
        <w14:shadow w14:blurRad="50800" w14:dist="50800" w14:dir="5400000" w14:sx="0" w14:sy="0" w14:kx="0" w14:ky="0" w14:algn="ctr">
          <w14:srgbClr w14:val="000000">
            <w14:alpha w14:val="100000"/>
          </w14:srgbClr>
        </w14:shadow>
      </w:rPr>
      <w:fldChar w:fldCharType="begin"/>
    </w:r>
    <w:r w:rsidR="00073DD9" w:rsidRPr="00F86E96">
      <w:rPr>
        <w:sz w:val="20"/>
        <w14:shadow w14:blurRad="50800" w14:dist="50800" w14:dir="5400000" w14:sx="0" w14:sy="0" w14:kx="0" w14:ky="0" w14:algn="ctr">
          <w14:srgbClr w14:val="000000">
            <w14:alpha w14:val="100000"/>
          </w14:srgbClr>
        </w14:shadow>
      </w:rPr>
      <w:instrText xml:space="preserve"> PAGE </w:instrText>
    </w:r>
    <w:r w:rsidR="00073DD9" w:rsidRPr="00F86E96">
      <w:rPr>
        <w:sz w:val="20"/>
        <w14:shadow w14:blurRad="50800" w14:dist="50800" w14:dir="5400000" w14:sx="0" w14:sy="0" w14:kx="0" w14:ky="0" w14:algn="ctr">
          <w14:srgbClr w14:val="000000">
            <w14:alpha w14:val="100000"/>
          </w14:srgbClr>
        </w14:shadow>
      </w:rPr>
      <w:fldChar w:fldCharType="separate"/>
    </w:r>
    <w:r w:rsidR="00D76468">
      <w:rPr>
        <w:noProof/>
        <w:sz w:val="20"/>
        <w14:shadow w14:blurRad="50800" w14:dist="50800" w14:dir="5400000" w14:sx="0" w14:sy="0" w14:kx="0" w14:ky="0" w14:algn="ctr">
          <w14:srgbClr w14:val="000000">
            <w14:alpha w14:val="100000"/>
          </w14:srgbClr>
        </w14:shadow>
      </w:rPr>
      <w:t>4</w:t>
    </w:r>
    <w:r w:rsidR="00073DD9" w:rsidRPr="00F86E96">
      <w:rPr>
        <w:sz w:val="20"/>
        <w14:shadow w14:blurRad="50800" w14:dist="50800" w14:dir="5400000" w14:sx="0" w14:sy="0" w14:kx="0" w14:ky="0" w14:algn="ctr">
          <w14:srgbClr w14:val="000000">
            <w14:alpha w14:val="100000"/>
          </w14:srgbClr>
        </w14:shadow>
      </w:rPr>
      <w:fldChar w:fldCharType="end"/>
    </w:r>
  </w:p>
  <w:p w14:paraId="2AB63408" w14:textId="77777777" w:rsidR="00073DD9" w:rsidRDefault="00073DD9" w:rsidP="00BF2C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486E4" w14:textId="77777777" w:rsidR="00761D66" w:rsidRDefault="00761D66" w:rsidP="00BF2CBA">
      <w:r>
        <w:separator/>
      </w:r>
    </w:p>
    <w:p w14:paraId="51079299" w14:textId="77777777" w:rsidR="00761D66" w:rsidRDefault="00761D66" w:rsidP="00BF2CBA"/>
  </w:footnote>
  <w:footnote w:type="continuationSeparator" w:id="0">
    <w:p w14:paraId="6AA40AEE" w14:textId="77777777" w:rsidR="00761D66" w:rsidRDefault="00761D66" w:rsidP="00BF2CBA">
      <w:r>
        <w:continuationSeparator/>
      </w:r>
    </w:p>
    <w:p w14:paraId="32443A28" w14:textId="77777777" w:rsidR="00761D66" w:rsidRDefault="00761D66" w:rsidP="00BF2C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FBA25" w14:textId="77777777" w:rsidR="00073DD9" w:rsidRDefault="00073DD9" w:rsidP="00BF2CBA">
    <w:pPr>
      <w:pStyle w:val="Header"/>
    </w:pPr>
  </w:p>
  <w:p w14:paraId="0DD4E992" w14:textId="77777777" w:rsidR="00073DD9" w:rsidRDefault="00073DD9" w:rsidP="00BF2CBA">
    <w:pPr>
      <w:pStyle w:val="Header"/>
    </w:pPr>
  </w:p>
  <w:p w14:paraId="3C114E7F" w14:textId="77777777" w:rsidR="00073DD9" w:rsidRDefault="00073DD9" w:rsidP="00BF2C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C490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F49D6"/>
    <w:multiLevelType w:val="hybridMultilevel"/>
    <w:tmpl w:val="BFB2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233C4"/>
    <w:multiLevelType w:val="hybridMultilevel"/>
    <w:tmpl w:val="852A210A"/>
    <w:lvl w:ilvl="0" w:tplc="2D4C4600">
      <w:start w:val="1"/>
      <w:numFmt w:val="decimal"/>
      <w:lvlText w:val="%1."/>
      <w:lvlJc w:val="left"/>
      <w:pPr>
        <w:ind w:left="786" w:hanging="360"/>
      </w:pPr>
      <w:rPr>
        <w:rFonts w:ascii="Arial" w:hAnsi="Arial" w:cs="Arial" w:hint="default"/>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62844"/>
    <w:multiLevelType w:val="hybridMultilevel"/>
    <w:tmpl w:val="E3C0D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A42BA"/>
    <w:multiLevelType w:val="hybridMultilevel"/>
    <w:tmpl w:val="CA8E3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A393E"/>
    <w:multiLevelType w:val="hybridMultilevel"/>
    <w:tmpl w:val="62F48FF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6" w15:restartNumberingAfterBreak="0">
    <w:nsid w:val="28E1769A"/>
    <w:multiLevelType w:val="hybridMultilevel"/>
    <w:tmpl w:val="91D2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D696F"/>
    <w:multiLevelType w:val="hybridMultilevel"/>
    <w:tmpl w:val="1B20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625DD"/>
    <w:multiLevelType w:val="hybridMultilevel"/>
    <w:tmpl w:val="6C6A9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BF2B49"/>
    <w:multiLevelType w:val="hybridMultilevel"/>
    <w:tmpl w:val="00BEC936"/>
    <w:lvl w:ilvl="0" w:tplc="0AE66BB8">
      <w:start w:val="1"/>
      <w:numFmt w:val="bullet"/>
      <w:lvlText w:val="-"/>
      <w:lvlJc w:val="left"/>
      <w:pPr>
        <w:ind w:left="1353" w:hanging="360"/>
      </w:pPr>
      <w:rPr>
        <w:rFonts w:ascii="Arial" w:eastAsia="Times New Roman"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0" w15:restartNumberingAfterBreak="0">
    <w:nsid w:val="5E7B6611"/>
    <w:multiLevelType w:val="hybridMultilevel"/>
    <w:tmpl w:val="B644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852F88"/>
    <w:multiLevelType w:val="hybridMultilevel"/>
    <w:tmpl w:val="CFA6A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BF2412"/>
    <w:multiLevelType w:val="hybridMultilevel"/>
    <w:tmpl w:val="0EE4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0"/>
  </w:num>
  <w:num w:numId="4">
    <w:abstractNumId w:val="10"/>
  </w:num>
  <w:num w:numId="5">
    <w:abstractNumId w:val="1"/>
  </w:num>
  <w:num w:numId="6">
    <w:abstractNumId w:val="7"/>
  </w:num>
  <w:num w:numId="7">
    <w:abstractNumId w:val="6"/>
  </w:num>
  <w:num w:numId="8">
    <w:abstractNumId w:val="4"/>
  </w:num>
  <w:num w:numId="9">
    <w:abstractNumId w:val="9"/>
  </w:num>
  <w:num w:numId="10">
    <w:abstractNumId w:val="11"/>
  </w:num>
  <w:num w:numId="11">
    <w:abstractNumId w:val="5"/>
  </w:num>
  <w:num w:numId="12">
    <w:abstractNumId w:val="8"/>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6145" fillcolor="#002060" strokecolor="#002060">
      <v:fill color="#002060"/>
      <v:stroke color="#002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9A"/>
    <w:rsid w:val="00001D08"/>
    <w:rsid w:val="00002703"/>
    <w:rsid w:val="0000442D"/>
    <w:rsid w:val="00005357"/>
    <w:rsid w:val="000077D7"/>
    <w:rsid w:val="00010B28"/>
    <w:rsid w:val="00011FE1"/>
    <w:rsid w:val="00012B63"/>
    <w:rsid w:val="00014A5B"/>
    <w:rsid w:val="00015DD1"/>
    <w:rsid w:val="00020076"/>
    <w:rsid w:val="00021AA4"/>
    <w:rsid w:val="00021B52"/>
    <w:rsid w:val="000224AE"/>
    <w:rsid w:val="00025945"/>
    <w:rsid w:val="00025FEB"/>
    <w:rsid w:val="00033FAA"/>
    <w:rsid w:val="00035A3F"/>
    <w:rsid w:val="000365CE"/>
    <w:rsid w:val="00036948"/>
    <w:rsid w:val="00041779"/>
    <w:rsid w:val="0004247A"/>
    <w:rsid w:val="000437C7"/>
    <w:rsid w:val="000446A2"/>
    <w:rsid w:val="000472DD"/>
    <w:rsid w:val="000534B4"/>
    <w:rsid w:val="00057F56"/>
    <w:rsid w:val="000616A3"/>
    <w:rsid w:val="00061911"/>
    <w:rsid w:val="00073DD9"/>
    <w:rsid w:val="00073FCC"/>
    <w:rsid w:val="00075FE2"/>
    <w:rsid w:val="00076A72"/>
    <w:rsid w:val="00076E8C"/>
    <w:rsid w:val="00077651"/>
    <w:rsid w:val="0007790A"/>
    <w:rsid w:val="00085913"/>
    <w:rsid w:val="00086703"/>
    <w:rsid w:val="000956E5"/>
    <w:rsid w:val="000A05F4"/>
    <w:rsid w:val="000A244F"/>
    <w:rsid w:val="000A463D"/>
    <w:rsid w:val="000A5E5B"/>
    <w:rsid w:val="000A6489"/>
    <w:rsid w:val="000A7339"/>
    <w:rsid w:val="000B0A95"/>
    <w:rsid w:val="000B7AF7"/>
    <w:rsid w:val="000C1645"/>
    <w:rsid w:val="000C2768"/>
    <w:rsid w:val="000C50E9"/>
    <w:rsid w:val="000D71E9"/>
    <w:rsid w:val="000E1DE9"/>
    <w:rsid w:val="000E23D5"/>
    <w:rsid w:val="000E6EED"/>
    <w:rsid w:val="000F2D8E"/>
    <w:rsid w:val="000F4361"/>
    <w:rsid w:val="000F59E1"/>
    <w:rsid w:val="0010091A"/>
    <w:rsid w:val="0010332E"/>
    <w:rsid w:val="00105A49"/>
    <w:rsid w:val="001060DF"/>
    <w:rsid w:val="001072C2"/>
    <w:rsid w:val="00107CBD"/>
    <w:rsid w:val="0011018F"/>
    <w:rsid w:val="00110A88"/>
    <w:rsid w:val="0011117A"/>
    <w:rsid w:val="00111B23"/>
    <w:rsid w:val="00112084"/>
    <w:rsid w:val="001140B0"/>
    <w:rsid w:val="00116672"/>
    <w:rsid w:val="001223A1"/>
    <w:rsid w:val="00123479"/>
    <w:rsid w:val="00124FE1"/>
    <w:rsid w:val="00130056"/>
    <w:rsid w:val="00130607"/>
    <w:rsid w:val="00130B44"/>
    <w:rsid w:val="001310EF"/>
    <w:rsid w:val="00133AC0"/>
    <w:rsid w:val="00135703"/>
    <w:rsid w:val="00135BB5"/>
    <w:rsid w:val="00137EF8"/>
    <w:rsid w:val="00140139"/>
    <w:rsid w:val="001415E5"/>
    <w:rsid w:val="00142048"/>
    <w:rsid w:val="00142107"/>
    <w:rsid w:val="0014413B"/>
    <w:rsid w:val="001459D4"/>
    <w:rsid w:val="001515A0"/>
    <w:rsid w:val="001545E3"/>
    <w:rsid w:val="00156501"/>
    <w:rsid w:val="00160730"/>
    <w:rsid w:val="00160D98"/>
    <w:rsid w:val="00162D35"/>
    <w:rsid w:val="001650AB"/>
    <w:rsid w:val="00167250"/>
    <w:rsid w:val="00170321"/>
    <w:rsid w:val="00174138"/>
    <w:rsid w:val="001752EC"/>
    <w:rsid w:val="0017544E"/>
    <w:rsid w:val="0017606D"/>
    <w:rsid w:val="001762F7"/>
    <w:rsid w:val="00190292"/>
    <w:rsid w:val="001951C2"/>
    <w:rsid w:val="00195277"/>
    <w:rsid w:val="001A0DA6"/>
    <w:rsid w:val="001A1FCE"/>
    <w:rsid w:val="001A6C02"/>
    <w:rsid w:val="001B3FDF"/>
    <w:rsid w:val="001B767F"/>
    <w:rsid w:val="001C0DA0"/>
    <w:rsid w:val="001C19D6"/>
    <w:rsid w:val="001C1D9D"/>
    <w:rsid w:val="001C27E9"/>
    <w:rsid w:val="001C2EA0"/>
    <w:rsid w:val="001C6EA5"/>
    <w:rsid w:val="001D6786"/>
    <w:rsid w:val="001D7248"/>
    <w:rsid w:val="001D7F6E"/>
    <w:rsid w:val="001E0983"/>
    <w:rsid w:val="001E30CE"/>
    <w:rsid w:val="001E4B09"/>
    <w:rsid w:val="001E6863"/>
    <w:rsid w:val="001E71AD"/>
    <w:rsid w:val="001F0C83"/>
    <w:rsid w:val="001F6603"/>
    <w:rsid w:val="001F68CD"/>
    <w:rsid w:val="00201FE0"/>
    <w:rsid w:val="00203F7C"/>
    <w:rsid w:val="00205D6E"/>
    <w:rsid w:val="00207CFC"/>
    <w:rsid w:val="00212932"/>
    <w:rsid w:val="002148C5"/>
    <w:rsid w:val="00215851"/>
    <w:rsid w:val="00217ACB"/>
    <w:rsid w:val="00221AD6"/>
    <w:rsid w:val="002240F4"/>
    <w:rsid w:val="00226151"/>
    <w:rsid w:val="002363A8"/>
    <w:rsid w:val="00240DA0"/>
    <w:rsid w:val="00241865"/>
    <w:rsid w:val="00245C09"/>
    <w:rsid w:val="002471F6"/>
    <w:rsid w:val="00252DCE"/>
    <w:rsid w:val="00254655"/>
    <w:rsid w:val="00256D0A"/>
    <w:rsid w:val="00256D0F"/>
    <w:rsid w:val="00266F35"/>
    <w:rsid w:val="00266FF9"/>
    <w:rsid w:val="002711BD"/>
    <w:rsid w:val="002751A1"/>
    <w:rsid w:val="00276478"/>
    <w:rsid w:val="0028070F"/>
    <w:rsid w:val="00282A0E"/>
    <w:rsid w:val="00286470"/>
    <w:rsid w:val="002869AD"/>
    <w:rsid w:val="002870B6"/>
    <w:rsid w:val="00287140"/>
    <w:rsid w:val="00291F11"/>
    <w:rsid w:val="00292914"/>
    <w:rsid w:val="00295BF5"/>
    <w:rsid w:val="0029763C"/>
    <w:rsid w:val="002A15B3"/>
    <w:rsid w:val="002A4D7B"/>
    <w:rsid w:val="002A575E"/>
    <w:rsid w:val="002B053A"/>
    <w:rsid w:val="002B1F23"/>
    <w:rsid w:val="002B285D"/>
    <w:rsid w:val="002B7737"/>
    <w:rsid w:val="002C0508"/>
    <w:rsid w:val="002C2C47"/>
    <w:rsid w:val="002C457D"/>
    <w:rsid w:val="002C7918"/>
    <w:rsid w:val="002D103C"/>
    <w:rsid w:val="002D3482"/>
    <w:rsid w:val="002D3812"/>
    <w:rsid w:val="002E0814"/>
    <w:rsid w:val="002E2F93"/>
    <w:rsid w:val="002E5E50"/>
    <w:rsid w:val="002E77C4"/>
    <w:rsid w:val="002F0DF2"/>
    <w:rsid w:val="002F2002"/>
    <w:rsid w:val="002F21CB"/>
    <w:rsid w:val="002F2CB2"/>
    <w:rsid w:val="002F3AB7"/>
    <w:rsid w:val="002F6835"/>
    <w:rsid w:val="002F6D80"/>
    <w:rsid w:val="002F7495"/>
    <w:rsid w:val="00301E52"/>
    <w:rsid w:val="00305348"/>
    <w:rsid w:val="00305B3A"/>
    <w:rsid w:val="00307539"/>
    <w:rsid w:val="00310D8F"/>
    <w:rsid w:val="00311AFD"/>
    <w:rsid w:val="003172B7"/>
    <w:rsid w:val="00320112"/>
    <w:rsid w:val="00320B70"/>
    <w:rsid w:val="00321489"/>
    <w:rsid w:val="003217D0"/>
    <w:rsid w:val="00323EF1"/>
    <w:rsid w:val="003315A1"/>
    <w:rsid w:val="00331FDF"/>
    <w:rsid w:val="00332C4C"/>
    <w:rsid w:val="00340424"/>
    <w:rsid w:val="00342D26"/>
    <w:rsid w:val="0034699C"/>
    <w:rsid w:val="0035227C"/>
    <w:rsid w:val="00355764"/>
    <w:rsid w:val="00362DF1"/>
    <w:rsid w:val="003643EB"/>
    <w:rsid w:val="00365DDB"/>
    <w:rsid w:val="003733B2"/>
    <w:rsid w:val="00374449"/>
    <w:rsid w:val="00375F0E"/>
    <w:rsid w:val="00380F63"/>
    <w:rsid w:val="00381CFF"/>
    <w:rsid w:val="00382326"/>
    <w:rsid w:val="00382CC4"/>
    <w:rsid w:val="003831B5"/>
    <w:rsid w:val="0038380D"/>
    <w:rsid w:val="00383D31"/>
    <w:rsid w:val="00387ED6"/>
    <w:rsid w:val="00393711"/>
    <w:rsid w:val="00394986"/>
    <w:rsid w:val="003954BD"/>
    <w:rsid w:val="003A3248"/>
    <w:rsid w:val="003A4181"/>
    <w:rsid w:val="003A6B38"/>
    <w:rsid w:val="003A775F"/>
    <w:rsid w:val="003B1300"/>
    <w:rsid w:val="003B416A"/>
    <w:rsid w:val="003B53FC"/>
    <w:rsid w:val="003B57DC"/>
    <w:rsid w:val="003C05BD"/>
    <w:rsid w:val="003C27DA"/>
    <w:rsid w:val="003C2EA6"/>
    <w:rsid w:val="003C6FBC"/>
    <w:rsid w:val="003D0047"/>
    <w:rsid w:val="003D24CB"/>
    <w:rsid w:val="003D34F8"/>
    <w:rsid w:val="003D4203"/>
    <w:rsid w:val="003E4865"/>
    <w:rsid w:val="003F3B3E"/>
    <w:rsid w:val="0040166C"/>
    <w:rsid w:val="004078F6"/>
    <w:rsid w:val="00411EA3"/>
    <w:rsid w:val="00413958"/>
    <w:rsid w:val="004175D7"/>
    <w:rsid w:val="00422418"/>
    <w:rsid w:val="0042642F"/>
    <w:rsid w:val="00426883"/>
    <w:rsid w:val="00434DC1"/>
    <w:rsid w:val="00436891"/>
    <w:rsid w:val="0044220B"/>
    <w:rsid w:val="00442EA4"/>
    <w:rsid w:val="00443058"/>
    <w:rsid w:val="00444132"/>
    <w:rsid w:val="004515ED"/>
    <w:rsid w:val="004521F4"/>
    <w:rsid w:val="0045387D"/>
    <w:rsid w:val="004610C0"/>
    <w:rsid w:val="00462A9A"/>
    <w:rsid w:val="00463346"/>
    <w:rsid w:val="00465A49"/>
    <w:rsid w:val="00465EC7"/>
    <w:rsid w:val="00473A4B"/>
    <w:rsid w:val="0047584C"/>
    <w:rsid w:val="00476B5F"/>
    <w:rsid w:val="00477442"/>
    <w:rsid w:val="00477E50"/>
    <w:rsid w:val="00481AC2"/>
    <w:rsid w:val="00483764"/>
    <w:rsid w:val="00484FFB"/>
    <w:rsid w:val="00487053"/>
    <w:rsid w:val="00491453"/>
    <w:rsid w:val="004A27BB"/>
    <w:rsid w:val="004A2ED0"/>
    <w:rsid w:val="004A557A"/>
    <w:rsid w:val="004A64C4"/>
    <w:rsid w:val="004B0815"/>
    <w:rsid w:val="004B6762"/>
    <w:rsid w:val="004B6B53"/>
    <w:rsid w:val="004B72CA"/>
    <w:rsid w:val="004C0DDD"/>
    <w:rsid w:val="004C1E36"/>
    <w:rsid w:val="004C20E4"/>
    <w:rsid w:val="004C53BA"/>
    <w:rsid w:val="004C6DFC"/>
    <w:rsid w:val="004D5EC4"/>
    <w:rsid w:val="004E1CA6"/>
    <w:rsid w:val="004E2395"/>
    <w:rsid w:val="004E37BA"/>
    <w:rsid w:val="004E6280"/>
    <w:rsid w:val="004F0E81"/>
    <w:rsid w:val="004F25D0"/>
    <w:rsid w:val="004F348F"/>
    <w:rsid w:val="004F34EC"/>
    <w:rsid w:val="004F3DF5"/>
    <w:rsid w:val="004F53ED"/>
    <w:rsid w:val="00500A00"/>
    <w:rsid w:val="00502166"/>
    <w:rsid w:val="005025D3"/>
    <w:rsid w:val="00503C8E"/>
    <w:rsid w:val="00505D67"/>
    <w:rsid w:val="00506B65"/>
    <w:rsid w:val="0051149F"/>
    <w:rsid w:val="00512622"/>
    <w:rsid w:val="005200EB"/>
    <w:rsid w:val="005216D8"/>
    <w:rsid w:val="00525F44"/>
    <w:rsid w:val="00526C63"/>
    <w:rsid w:val="00526E25"/>
    <w:rsid w:val="005318E9"/>
    <w:rsid w:val="00531CA2"/>
    <w:rsid w:val="00532FDD"/>
    <w:rsid w:val="00537E0F"/>
    <w:rsid w:val="00540B30"/>
    <w:rsid w:val="0054263F"/>
    <w:rsid w:val="005444E3"/>
    <w:rsid w:val="00544CDD"/>
    <w:rsid w:val="005451ED"/>
    <w:rsid w:val="00547827"/>
    <w:rsid w:val="00550A17"/>
    <w:rsid w:val="00550FCD"/>
    <w:rsid w:val="00552AAE"/>
    <w:rsid w:val="00553B9D"/>
    <w:rsid w:val="0055540E"/>
    <w:rsid w:val="00555E70"/>
    <w:rsid w:val="0056194B"/>
    <w:rsid w:val="0056551E"/>
    <w:rsid w:val="00565D2D"/>
    <w:rsid w:val="0057188B"/>
    <w:rsid w:val="00572BCD"/>
    <w:rsid w:val="005741AE"/>
    <w:rsid w:val="00575715"/>
    <w:rsid w:val="0058024E"/>
    <w:rsid w:val="00580870"/>
    <w:rsid w:val="005830F1"/>
    <w:rsid w:val="00584C06"/>
    <w:rsid w:val="005873ED"/>
    <w:rsid w:val="00591A26"/>
    <w:rsid w:val="00591DA6"/>
    <w:rsid w:val="005938C4"/>
    <w:rsid w:val="00594C3B"/>
    <w:rsid w:val="005A431F"/>
    <w:rsid w:val="005B2C62"/>
    <w:rsid w:val="005C065B"/>
    <w:rsid w:val="005C657D"/>
    <w:rsid w:val="005C670C"/>
    <w:rsid w:val="005C789D"/>
    <w:rsid w:val="005D25F1"/>
    <w:rsid w:val="005D6F34"/>
    <w:rsid w:val="005E01CA"/>
    <w:rsid w:val="005E0D49"/>
    <w:rsid w:val="005E2E0A"/>
    <w:rsid w:val="005E3465"/>
    <w:rsid w:val="005E5F95"/>
    <w:rsid w:val="005F3BBD"/>
    <w:rsid w:val="005F7B13"/>
    <w:rsid w:val="00601090"/>
    <w:rsid w:val="00601B0A"/>
    <w:rsid w:val="0060209B"/>
    <w:rsid w:val="0060630F"/>
    <w:rsid w:val="00612C7D"/>
    <w:rsid w:val="0061662C"/>
    <w:rsid w:val="00620112"/>
    <w:rsid w:val="00633D43"/>
    <w:rsid w:val="00634FF7"/>
    <w:rsid w:val="00635727"/>
    <w:rsid w:val="006419EE"/>
    <w:rsid w:val="006465E6"/>
    <w:rsid w:val="00647DA4"/>
    <w:rsid w:val="00657BA0"/>
    <w:rsid w:val="006607C7"/>
    <w:rsid w:val="00660E22"/>
    <w:rsid w:val="00661C96"/>
    <w:rsid w:val="00663A3C"/>
    <w:rsid w:val="006649FD"/>
    <w:rsid w:val="006741AF"/>
    <w:rsid w:val="006755FE"/>
    <w:rsid w:val="00675EDD"/>
    <w:rsid w:val="00677191"/>
    <w:rsid w:val="0067742C"/>
    <w:rsid w:val="00681BC9"/>
    <w:rsid w:val="00684614"/>
    <w:rsid w:val="00686B8F"/>
    <w:rsid w:val="00692409"/>
    <w:rsid w:val="006A054F"/>
    <w:rsid w:val="006A0715"/>
    <w:rsid w:val="006A2E79"/>
    <w:rsid w:val="006A6936"/>
    <w:rsid w:val="006B0935"/>
    <w:rsid w:val="006B0DA2"/>
    <w:rsid w:val="006B2AF4"/>
    <w:rsid w:val="006B47CC"/>
    <w:rsid w:val="006B5D01"/>
    <w:rsid w:val="006B6B75"/>
    <w:rsid w:val="006C1D4F"/>
    <w:rsid w:val="006C22AA"/>
    <w:rsid w:val="006C3B5F"/>
    <w:rsid w:val="006C7C55"/>
    <w:rsid w:val="006D7132"/>
    <w:rsid w:val="006E1B32"/>
    <w:rsid w:val="006E6ABE"/>
    <w:rsid w:val="006F0C67"/>
    <w:rsid w:val="006F160C"/>
    <w:rsid w:val="006F5697"/>
    <w:rsid w:val="006F5E1C"/>
    <w:rsid w:val="006F7719"/>
    <w:rsid w:val="00700590"/>
    <w:rsid w:val="0070250E"/>
    <w:rsid w:val="00702901"/>
    <w:rsid w:val="00705CED"/>
    <w:rsid w:val="00707F4E"/>
    <w:rsid w:val="007100F1"/>
    <w:rsid w:val="007102EF"/>
    <w:rsid w:val="00710B39"/>
    <w:rsid w:val="007126BF"/>
    <w:rsid w:val="007139A5"/>
    <w:rsid w:val="007142FD"/>
    <w:rsid w:val="00715876"/>
    <w:rsid w:val="00717DC8"/>
    <w:rsid w:val="007219D5"/>
    <w:rsid w:val="00722471"/>
    <w:rsid w:val="007230CE"/>
    <w:rsid w:val="00725F95"/>
    <w:rsid w:val="00730D30"/>
    <w:rsid w:val="0073201E"/>
    <w:rsid w:val="00732A5E"/>
    <w:rsid w:val="00732DBC"/>
    <w:rsid w:val="00733CF2"/>
    <w:rsid w:val="00733EC5"/>
    <w:rsid w:val="00740C50"/>
    <w:rsid w:val="007419C5"/>
    <w:rsid w:val="00741F22"/>
    <w:rsid w:val="00742322"/>
    <w:rsid w:val="00751E51"/>
    <w:rsid w:val="0075320A"/>
    <w:rsid w:val="0075469B"/>
    <w:rsid w:val="007552C7"/>
    <w:rsid w:val="007614C4"/>
    <w:rsid w:val="00761D66"/>
    <w:rsid w:val="00764E0A"/>
    <w:rsid w:val="0076527C"/>
    <w:rsid w:val="007670A4"/>
    <w:rsid w:val="00771ED7"/>
    <w:rsid w:val="00773374"/>
    <w:rsid w:val="00773470"/>
    <w:rsid w:val="00775F4C"/>
    <w:rsid w:val="007807AB"/>
    <w:rsid w:val="00781355"/>
    <w:rsid w:val="00783E71"/>
    <w:rsid w:val="007851BA"/>
    <w:rsid w:val="007871FF"/>
    <w:rsid w:val="00787416"/>
    <w:rsid w:val="00790334"/>
    <w:rsid w:val="00793F2C"/>
    <w:rsid w:val="007A0943"/>
    <w:rsid w:val="007A3A1D"/>
    <w:rsid w:val="007B2013"/>
    <w:rsid w:val="007B20F7"/>
    <w:rsid w:val="007B265B"/>
    <w:rsid w:val="007B368A"/>
    <w:rsid w:val="007B5D4D"/>
    <w:rsid w:val="007C2DCA"/>
    <w:rsid w:val="007C31FF"/>
    <w:rsid w:val="007C3D83"/>
    <w:rsid w:val="007C3FEB"/>
    <w:rsid w:val="007C4316"/>
    <w:rsid w:val="007C4A16"/>
    <w:rsid w:val="007C5BC6"/>
    <w:rsid w:val="007D3413"/>
    <w:rsid w:val="007F07D5"/>
    <w:rsid w:val="007F1D6E"/>
    <w:rsid w:val="007F6FBA"/>
    <w:rsid w:val="007F7421"/>
    <w:rsid w:val="00801E05"/>
    <w:rsid w:val="00807BA6"/>
    <w:rsid w:val="0081059E"/>
    <w:rsid w:val="008106B9"/>
    <w:rsid w:val="00811227"/>
    <w:rsid w:val="0081178E"/>
    <w:rsid w:val="00811BC4"/>
    <w:rsid w:val="00811BF7"/>
    <w:rsid w:val="0081662D"/>
    <w:rsid w:val="00831AC0"/>
    <w:rsid w:val="00835370"/>
    <w:rsid w:val="008409D7"/>
    <w:rsid w:val="008426F8"/>
    <w:rsid w:val="00842D7D"/>
    <w:rsid w:val="008464D5"/>
    <w:rsid w:val="00847841"/>
    <w:rsid w:val="00855726"/>
    <w:rsid w:val="00861B75"/>
    <w:rsid w:val="00870D6B"/>
    <w:rsid w:val="00871F75"/>
    <w:rsid w:val="0087267E"/>
    <w:rsid w:val="0087358B"/>
    <w:rsid w:val="008739F1"/>
    <w:rsid w:val="0087506E"/>
    <w:rsid w:val="00876C11"/>
    <w:rsid w:val="00882138"/>
    <w:rsid w:val="008842F2"/>
    <w:rsid w:val="00894AB1"/>
    <w:rsid w:val="00895DB9"/>
    <w:rsid w:val="008967BD"/>
    <w:rsid w:val="008A056F"/>
    <w:rsid w:val="008A17E9"/>
    <w:rsid w:val="008A2777"/>
    <w:rsid w:val="008A326C"/>
    <w:rsid w:val="008A5212"/>
    <w:rsid w:val="008A63CD"/>
    <w:rsid w:val="008A7D7B"/>
    <w:rsid w:val="008B1558"/>
    <w:rsid w:val="008B35A1"/>
    <w:rsid w:val="008C1D98"/>
    <w:rsid w:val="008C2503"/>
    <w:rsid w:val="008C48D2"/>
    <w:rsid w:val="008C5CD4"/>
    <w:rsid w:val="008C6194"/>
    <w:rsid w:val="008C725F"/>
    <w:rsid w:val="008C731A"/>
    <w:rsid w:val="008D7F65"/>
    <w:rsid w:val="008E3397"/>
    <w:rsid w:val="008E3EA0"/>
    <w:rsid w:val="008E5A75"/>
    <w:rsid w:val="0090747F"/>
    <w:rsid w:val="00910AD8"/>
    <w:rsid w:val="009119C0"/>
    <w:rsid w:val="00915D4F"/>
    <w:rsid w:val="009163DF"/>
    <w:rsid w:val="00916B65"/>
    <w:rsid w:val="0091723A"/>
    <w:rsid w:val="009202F2"/>
    <w:rsid w:val="00920491"/>
    <w:rsid w:val="0092436F"/>
    <w:rsid w:val="00927DA8"/>
    <w:rsid w:val="009311C1"/>
    <w:rsid w:val="009335AA"/>
    <w:rsid w:val="00934C1A"/>
    <w:rsid w:val="00941F3E"/>
    <w:rsid w:val="00946A42"/>
    <w:rsid w:val="00950510"/>
    <w:rsid w:val="00955A4E"/>
    <w:rsid w:val="00962393"/>
    <w:rsid w:val="00965A4F"/>
    <w:rsid w:val="00972A45"/>
    <w:rsid w:val="00976620"/>
    <w:rsid w:val="00981E2B"/>
    <w:rsid w:val="0098216C"/>
    <w:rsid w:val="00984FD8"/>
    <w:rsid w:val="00986874"/>
    <w:rsid w:val="00987105"/>
    <w:rsid w:val="00993748"/>
    <w:rsid w:val="00996887"/>
    <w:rsid w:val="009A3045"/>
    <w:rsid w:val="009A44D2"/>
    <w:rsid w:val="009A7F70"/>
    <w:rsid w:val="009B242C"/>
    <w:rsid w:val="009B6011"/>
    <w:rsid w:val="009B76E8"/>
    <w:rsid w:val="009C228A"/>
    <w:rsid w:val="009C459F"/>
    <w:rsid w:val="009C5DB1"/>
    <w:rsid w:val="009C74FE"/>
    <w:rsid w:val="009D0735"/>
    <w:rsid w:val="009D198D"/>
    <w:rsid w:val="009D1C3B"/>
    <w:rsid w:val="009D5960"/>
    <w:rsid w:val="009E08A9"/>
    <w:rsid w:val="009E58DD"/>
    <w:rsid w:val="009E662A"/>
    <w:rsid w:val="009E7433"/>
    <w:rsid w:val="009F0A73"/>
    <w:rsid w:val="00A00A94"/>
    <w:rsid w:val="00A00CFD"/>
    <w:rsid w:val="00A028C9"/>
    <w:rsid w:val="00A034D7"/>
    <w:rsid w:val="00A069B1"/>
    <w:rsid w:val="00A072E5"/>
    <w:rsid w:val="00A10E94"/>
    <w:rsid w:val="00A1426A"/>
    <w:rsid w:val="00A2274F"/>
    <w:rsid w:val="00A22994"/>
    <w:rsid w:val="00A34D82"/>
    <w:rsid w:val="00A35742"/>
    <w:rsid w:val="00A358D3"/>
    <w:rsid w:val="00A361A6"/>
    <w:rsid w:val="00A430D5"/>
    <w:rsid w:val="00A455C1"/>
    <w:rsid w:val="00A461FD"/>
    <w:rsid w:val="00A527CC"/>
    <w:rsid w:val="00A564D7"/>
    <w:rsid w:val="00A56AF3"/>
    <w:rsid w:val="00A573B9"/>
    <w:rsid w:val="00A63191"/>
    <w:rsid w:val="00A65C32"/>
    <w:rsid w:val="00A65E07"/>
    <w:rsid w:val="00A73583"/>
    <w:rsid w:val="00A80610"/>
    <w:rsid w:val="00A82767"/>
    <w:rsid w:val="00A83397"/>
    <w:rsid w:val="00A85491"/>
    <w:rsid w:val="00A902BA"/>
    <w:rsid w:val="00A911D2"/>
    <w:rsid w:val="00A92D99"/>
    <w:rsid w:val="00A96E43"/>
    <w:rsid w:val="00A97D5B"/>
    <w:rsid w:val="00AA254F"/>
    <w:rsid w:val="00AA2611"/>
    <w:rsid w:val="00AA292E"/>
    <w:rsid w:val="00AA3895"/>
    <w:rsid w:val="00AA5715"/>
    <w:rsid w:val="00AA6927"/>
    <w:rsid w:val="00AB245F"/>
    <w:rsid w:val="00AB278E"/>
    <w:rsid w:val="00AB4211"/>
    <w:rsid w:val="00AC0826"/>
    <w:rsid w:val="00AC1EA2"/>
    <w:rsid w:val="00AC29F0"/>
    <w:rsid w:val="00AC4D63"/>
    <w:rsid w:val="00AD3E22"/>
    <w:rsid w:val="00AD7115"/>
    <w:rsid w:val="00AE078D"/>
    <w:rsid w:val="00AE5A81"/>
    <w:rsid w:val="00AE6D4C"/>
    <w:rsid w:val="00AF37E9"/>
    <w:rsid w:val="00AF3B12"/>
    <w:rsid w:val="00B021A1"/>
    <w:rsid w:val="00B02AF5"/>
    <w:rsid w:val="00B03DD4"/>
    <w:rsid w:val="00B134A4"/>
    <w:rsid w:val="00B1404D"/>
    <w:rsid w:val="00B1593A"/>
    <w:rsid w:val="00B230C8"/>
    <w:rsid w:val="00B23D1D"/>
    <w:rsid w:val="00B26172"/>
    <w:rsid w:val="00B313D5"/>
    <w:rsid w:val="00B33C5E"/>
    <w:rsid w:val="00B34DCA"/>
    <w:rsid w:val="00B402E7"/>
    <w:rsid w:val="00B469F9"/>
    <w:rsid w:val="00B47E63"/>
    <w:rsid w:val="00B55461"/>
    <w:rsid w:val="00B60F60"/>
    <w:rsid w:val="00B62028"/>
    <w:rsid w:val="00B72E93"/>
    <w:rsid w:val="00B7355A"/>
    <w:rsid w:val="00B737A7"/>
    <w:rsid w:val="00B81838"/>
    <w:rsid w:val="00B87A9A"/>
    <w:rsid w:val="00B9103E"/>
    <w:rsid w:val="00B94693"/>
    <w:rsid w:val="00B94A09"/>
    <w:rsid w:val="00B95967"/>
    <w:rsid w:val="00B966BE"/>
    <w:rsid w:val="00BA1013"/>
    <w:rsid w:val="00BA1F2F"/>
    <w:rsid w:val="00BA4D82"/>
    <w:rsid w:val="00BB056F"/>
    <w:rsid w:val="00BB3038"/>
    <w:rsid w:val="00BB3F4D"/>
    <w:rsid w:val="00BB706D"/>
    <w:rsid w:val="00BC056C"/>
    <w:rsid w:val="00BC1431"/>
    <w:rsid w:val="00BC230B"/>
    <w:rsid w:val="00BC32E2"/>
    <w:rsid w:val="00BC369A"/>
    <w:rsid w:val="00BC3E0F"/>
    <w:rsid w:val="00BC51EA"/>
    <w:rsid w:val="00BC5378"/>
    <w:rsid w:val="00BC5675"/>
    <w:rsid w:val="00BC7BA2"/>
    <w:rsid w:val="00BD04B1"/>
    <w:rsid w:val="00BD164D"/>
    <w:rsid w:val="00BD28B9"/>
    <w:rsid w:val="00BD77B2"/>
    <w:rsid w:val="00BE44B1"/>
    <w:rsid w:val="00BF0C39"/>
    <w:rsid w:val="00BF1D83"/>
    <w:rsid w:val="00BF2697"/>
    <w:rsid w:val="00BF2CBA"/>
    <w:rsid w:val="00BF3AA4"/>
    <w:rsid w:val="00BF4386"/>
    <w:rsid w:val="00BF4C44"/>
    <w:rsid w:val="00C005DE"/>
    <w:rsid w:val="00C0381A"/>
    <w:rsid w:val="00C1003F"/>
    <w:rsid w:val="00C1652D"/>
    <w:rsid w:val="00C16E12"/>
    <w:rsid w:val="00C17353"/>
    <w:rsid w:val="00C206D2"/>
    <w:rsid w:val="00C219D5"/>
    <w:rsid w:val="00C22061"/>
    <w:rsid w:val="00C22E1F"/>
    <w:rsid w:val="00C23798"/>
    <w:rsid w:val="00C25A4C"/>
    <w:rsid w:val="00C25A4F"/>
    <w:rsid w:val="00C32031"/>
    <w:rsid w:val="00C332B4"/>
    <w:rsid w:val="00C33917"/>
    <w:rsid w:val="00C33DD9"/>
    <w:rsid w:val="00C34158"/>
    <w:rsid w:val="00C349D4"/>
    <w:rsid w:val="00C37133"/>
    <w:rsid w:val="00C41180"/>
    <w:rsid w:val="00C442A3"/>
    <w:rsid w:val="00C479E0"/>
    <w:rsid w:val="00C5133B"/>
    <w:rsid w:val="00C52ADF"/>
    <w:rsid w:val="00C54530"/>
    <w:rsid w:val="00C557B0"/>
    <w:rsid w:val="00C56AFB"/>
    <w:rsid w:val="00C56EDE"/>
    <w:rsid w:val="00C57165"/>
    <w:rsid w:val="00C60EB9"/>
    <w:rsid w:val="00C6117F"/>
    <w:rsid w:val="00C6132C"/>
    <w:rsid w:val="00C632B4"/>
    <w:rsid w:val="00C63735"/>
    <w:rsid w:val="00C6442A"/>
    <w:rsid w:val="00C665DE"/>
    <w:rsid w:val="00C67185"/>
    <w:rsid w:val="00C73CFE"/>
    <w:rsid w:val="00C748AF"/>
    <w:rsid w:val="00C74BC1"/>
    <w:rsid w:val="00C80BC1"/>
    <w:rsid w:val="00C82A82"/>
    <w:rsid w:val="00C83B75"/>
    <w:rsid w:val="00C84827"/>
    <w:rsid w:val="00C84A37"/>
    <w:rsid w:val="00C84AC2"/>
    <w:rsid w:val="00C862DE"/>
    <w:rsid w:val="00C91201"/>
    <w:rsid w:val="00C93381"/>
    <w:rsid w:val="00C934B5"/>
    <w:rsid w:val="00CA0F86"/>
    <w:rsid w:val="00CA110F"/>
    <w:rsid w:val="00CA3388"/>
    <w:rsid w:val="00CA3D5B"/>
    <w:rsid w:val="00CA47E5"/>
    <w:rsid w:val="00CA5A30"/>
    <w:rsid w:val="00CA624A"/>
    <w:rsid w:val="00CB24E2"/>
    <w:rsid w:val="00CB270E"/>
    <w:rsid w:val="00CB6CAC"/>
    <w:rsid w:val="00CB7502"/>
    <w:rsid w:val="00CB7F60"/>
    <w:rsid w:val="00CC4A1D"/>
    <w:rsid w:val="00CC5A04"/>
    <w:rsid w:val="00CD09B1"/>
    <w:rsid w:val="00CD3424"/>
    <w:rsid w:val="00CE0F9A"/>
    <w:rsid w:val="00CE211B"/>
    <w:rsid w:val="00CE5CA5"/>
    <w:rsid w:val="00CE7BD8"/>
    <w:rsid w:val="00CF0CBB"/>
    <w:rsid w:val="00CF0FFD"/>
    <w:rsid w:val="00CF1A5D"/>
    <w:rsid w:val="00D01D41"/>
    <w:rsid w:val="00D0269D"/>
    <w:rsid w:val="00D04A87"/>
    <w:rsid w:val="00D04DB6"/>
    <w:rsid w:val="00D04E19"/>
    <w:rsid w:val="00D05BC0"/>
    <w:rsid w:val="00D064A6"/>
    <w:rsid w:val="00D06EF1"/>
    <w:rsid w:val="00D07D1A"/>
    <w:rsid w:val="00D11360"/>
    <w:rsid w:val="00D132D8"/>
    <w:rsid w:val="00D156F7"/>
    <w:rsid w:val="00D20A89"/>
    <w:rsid w:val="00D21017"/>
    <w:rsid w:val="00D22013"/>
    <w:rsid w:val="00D2250F"/>
    <w:rsid w:val="00D3186E"/>
    <w:rsid w:val="00D32E90"/>
    <w:rsid w:val="00D33FAB"/>
    <w:rsid w:val="00D340FF"/>
    <w:rsid w:val="00D349AB"/>
    <w:rsid w:val="00D36D9E"/>
    <w:rsid w:val="00D42822"/>
    <w:rsid w:val="00D42A61"/>
    <w:rsid w:val="00D42C04"/>
    <w:rsid w:val="00D43750"/>
    <w:rsid w:val="00D45A6F"/>
    <w:rsid w:val="00D45B5E"/>
    <w:rsid w:val="00D47241"/>
    <w:rsid w:val="00D47EC9"/>
    <w:rsid w:val="00D510A6"/>
    <w:rsid w:val="00D514F7"/>
    <w:rsid w:val="00D53F66"/>
    <w:rsid w:val="00D64CF7"/>
    <w:rsid w:val="00D70B0A"/>
    <w:rsid w:val="00D72A8B"/>
    <w:rsid w:val="00D76468"/>
    <w:rsid w:val="00D85F08"/>
    <w:rsid w:val="00D95058"/>
    <w:rsid w:val="00DA1EDE"/>
    <w:rsid w:val="00DA45D4"/>
    <w:rsid w:val="00DA7043"/>
    <w:rsid w:val="00DA70A9"/>
    <w:rsid w:val="00DB0850"/>
    <w:rsid w:val="00DB0D8F"/>
    <w:rsid w:val="00DC0A23"/>
    <w:rsid w:val="00DC0C65"/>
    <w:rsid w:val="00DC5513"/>
    <w:rsid w:val="00DC5D28"/>
    <w:rsid w:val="00DC5E79"/>
    <w:rsid w:val="00DC6995"/>
    <w:rsid w:val="00DD4299"/>
    <w:rsid w:val="00DD4691"/>
    <w:rsid w:val="00DD4CB2"/>
    <w:rsid w:val="00DE20F8"/>
    <w:rsid w:val="00DE2E0D"/>
    <w:rsid w:val="00DE5A33"/>
    <w:rsid w:val="00DF0E06"/>
    <w:rsid w:val="00DF1B5F"/>
    <w:rsid w:val="00DF20A5"/>
    <w:rsid w:val="00DF4895"/>
    <w:rsid w:val="00E00C91"/>
    <w:rsid w:val="00E011DB"/>
    <w:rsid w:val="00E0261E"/>
    <w:rsid w:val="00E02AED"/>
    <w:rsid w:val="00E03B77"/>
    <w:rsid w:val="00E04B21"/>
    <w:rsid w:val="00E140BC"/>
    <w:rsid w:val="00E1666B"/>
    <w:rsid w:val="00E20351"/>
    <w:rsid w:val="00E20CA5"/>
    <w:rsid w:val="00E225E3"/>
    <w:rsid w:val="00E25592"/>
    <w:rsid w:val="00E25E58"/>
    <w:rsid w:val="00E26ADC"/>
    <w:rsid w:val="00E26F83"/>
    <w:rsid w:val="00E27313"/>
    <w:rsid w:val="00E309CA"/>
    <w:rsid w:val="00E314A2"/>
    <w:rsid w:val="00E315A4"/>
    <w:rsid w:val="00E32A35"/>
    <w:rsid w:val="00E32DD7"/>
    <w:rsid w:val="00E366C5"/>
    <w:rsid w:val="00E411D4"/>
    <w:rsid w:val="00E510EA"/>
    <w:rsid w:val="00E5151B"/>
    <w:rsid w:val="00E52E7D"/>
    <w:rsid w:val="00E53BAA"/>
    <w:rsid w:val="00E6027D"/>
    <w:rsid w:val="00E609B0"/>
    <w:rsid w:val="00E644CD"/>
    <w:rsid w:val="00E64563"/>
    <w:rsid w:val="00E66A40"/>
    <w:rsid w:val="00E66E00"/>
    <w:rsid w:val="00E73B96"/>
    <w:rsid w:val="00E73E1A"/>
    <w:rsid w:val="00E74CDC"/>
    <w:rsid w:val="00E754C3"/>
    <w:rsid w:val="00E85CAD"/>
    <w:rsid w:val="00E86A82"/>
    <w:rsid w:val="00E87D88"/>
    <w:rsid w:val="00E92CA3"/>
    <w:rsid w:val="00EA06E1"/>
    <w:rsid w:val="00EA20A9"/>
    <w:rsid w:val="00EA26D9"/>
    <w:rsid w:val="00EA6DB0"/>
    <w:rsid w:val="00EA6ECC"/>
    <w:rsid w:val="00EB0496"/>
    <w:rsid w:val="00EB1A82"/>
    <w:rsid w:val="00EB329B"/>
    <w:rsid w:val="00EB4E86"/>
    <w:rsid w:val="00EB6DCE"/>
    <w:rsid w:val="00EC16E0"/>
    <w:rsid w:val="00EC3F32"/>
    <w:rsid w:val="00ED1F78"/>
    <w:rsid w:val="00ED20FA"/>
    <w:rsid w:val="00ED3AB7"/>
    <w:rsid w:val="00ED4DA7"/>
    <w:rsid w:val="00ED7341"/>
    <w:rsid w:val="00EE29A8"/>
    <w:rsid w:val="00EE5415"/>
    <w:rsid w:val="00EE6712"/>
    <w:rsid w:val="00EE6E43"/>
    <w:rsid w:val="00EE6F0E"/>
    <w:rsid w:val="00EF4BE4"/>
    <w:rsid w:val="00EF680B"/>
    <w:rsid w:val="00F00F92"/>
    <w:rsid w:val="00F012EF"/>
    <w:rsid w:val="00F040C5"/>
    <w:rsid w:val="00F05161"/>
    <w:rsid w:val="00F058EA"/>
    <w:rsid w:val="00F05E0F"/>
    <w:rsid w:val="00F142A0"/>
    <w:rsid w:val="00F143DA"/>
    <w:rsid w:val="00F1765D"/>
    <w:rsid w:val="00F17F5B"/>
    <w:rsid w:val="00F2060D"/>
    <w:rsid w:val="00F215EF"/>
    <w:rsid w:val="00F226D8"/>
    <w:rsid w:val="00F22C84"/>
    <w:rsid w:val="00F22E41"/>
    <w:rsid w:val="00F2329E"/>
    <w:rsid w:val="00F2519F"/>
    <w:rsid w:val="00F253C7"/>
    <w:rsid w:val="00F2766C"/>
    <w:rsid w:val="00F30962"/>
    <w:rsid w:val="00F34425"/>
    <w:rsid w:val="00F37849"/>
    <w:rsid w:val="00F4087A"/>
    <w:rsid w:val="00F42468"/>
    <w:rsid w:val="00F42C9D"/>
    <w:rsid w:val="00F47199"/>
    <w:rsid w:val="00F4783E"/>
    <w:rsid w:val="00F52FC9"/>
    <w:rsid w:val="00F54988"/>
    <w:rsid w:val="00F555CE"/>
    <w:rsid w:val="00F610E0"/>
    <w:rsid w:val="00F67818"/>
    <w:rsid w:val="00F678A9"/>
    <w:rsid w:val="00F71934"/>
    <w:rsid w:val="00F73AF9"/>
    <w:rsid w:val="00F74A4F"/>
    <w:rsid w:val="00F81C4D"/>
    <w:rsid w:val="00F8215C"/>
    <w:rsid w:val="00F821FA"/>
    <w:rsid w:val="00F82BBA"/>
    <w:rsid w:val="00F82E49"/>
    <w:rsid w:val="00F85999"/>
    <w:rsid w:val="00F85BE3"/>
    <w:rsid w:val="00F86412"/>
    <w:rsid w:val="00F86E96"/>
    <w:rsid w:val="00F87B70"/>
    <w:rsid w:val="00FA00B5"/>
    <w:rsid w:val="00FA1644"/>
    <w:rsid w:val="00FA2BF0"/>
    <w:rsid w:val="00FA42BE"/>
    <w:rsid w:val="00FA4AC0"/>
    <w:rsid w:val="00FA503E"/>
    <w:rsid w:val="00FA7ABC"/>
    <w:rsid w:val="00FB00B4"/>
    <w:rsid w:val="00FB0C1D"/>
    <w:rsid w:val="00FB209A"/>
    <w:rsid w:val="00FB42B0"/>
    <w:rsid w:val="00FC3947"/>
    <w:rsid w:val="00FC4452"/>
    <w:rsid w:val="00FC52B9"/>
    <w:rsid w:val="00FC6E2D"/>
    <w:rsid w:val="00FD2CBD"/>
    <w:rsid w:val="00FD388F"/>
    <w:rsid w:val="00FD3FEA"/>
    <w:rsid w:val="00FD7A6E"/>
    <w:rsid w:val="00FE5B90"/>
    <w:rsid w:val="00FE6265"/>
    <w:rsid w:val="00FE63AA"/>
    <w:rsid w:val="00FF12A5"/>
    <w:rsid w:val="00FF3EBE"/>
    <w:rsid w:val="00FF4997"/>
    <w:rsid w:val="00FF5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002060" strokecolor="#002060">
      <v:fill color="#002060"/>
      <v:stroke color="#002060"/>
    </o:shapedefaults>
    <o:shapelayout v:ext="edit">
      <o:idmap v:ext="edit" data="1"/>
    </o:shapelayout>
  </w:shapeDefaults>
  <w:decimalSymbol w:val="."/>
  <w:listSeparator w:val=","/>
  <w14:docId w14:val="4C0B3BC1"/>
  <w15:docId w15:val="{298B4DBE-E649-4D1D-A922-1FDC040B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E96"/>
    <w:pPr>
      <w:widowControl/>
    </w:pPr>
    <w:rPr>
      <w:rFonts w:ascii="Arial" w:eastAsia="Times New Roman" w:hAnsi="Arial" w:cs="Times New Roman"/>
      <w:szCs w:val="20"/>
      <w:lang w:val="en-GB"/>
    </w:rPr>
  </w:style>
  <w:style w:type="paragraph" w:styleId="Heading1">
    <w:name w:val="heading 1"/>
    <w:basedOn w:val="Normal"/>
    <w:link w:val="Heading1Char"/>
    <w:uiPriority w:val="1"/>
    <w:qFormat/>
    <w:rsid w:val="00E609B0"/>
    <w:pPr>
      <w:spacing w:before="1"/>
      <w:ind w:left="109"/>
      <w:outlineLvl w:val="0"/>
    </w:pPr>
    <w:rPr>
      <w:rFonts w:eastAsia="ITCFranklinGothic LT Demi"/>
      <w:b/>
      <w:color w:val="1A2859"/>
      <w:sz w:val="44"/>
      <w:szCs w:val="200"/>
    </w:rPr>
  </w:style>
  <w:style w:type="paragraph" w:styleId="Heading2">
    <w:name w:val="heading 2"/>
    <w:basedOn w:val="Normal"/>
    <w:link w:val="Heading2Char"/>
    <w:uiPriority w:val="1"/>
    <w:qFormat/>
    <w:rsid w:val="00F86E96"/>
    <w:pPr>
      <w:outlineLvl w:val="1"/>
    </w:pPr>
    <w:rPr>
      <w:rFonts w:eastAsia="ITCFranklinGothic LT Demi"/>
      <w:b/>
      <w:sz w:val="24"/>
      <w:szCs w:val="88"/>
    </w:rPr>
  </w:style>
  <w:style w:type="paragraph" w:styleId="Heading3">
    <w:name w:val="heading 3"/>
    <w:basedOn w:val="Normal"/>
    <w:link w:val="Heading3Char"/>
    <w:uiPriority w:val="1"/>
    <w:qFormat/>
    <w:rsid w:val="006E1B32"/>
    <w:pPr>
      <w:outlineLvl w:val="2"/>
    </w:pPr>
    <w:rPr>
      <w:rFonts w:eastAsia="ITCFranklinGothic LT Demi"/>
      <w:b/>
      <w:szCs w:val="36"/>
    </w:rPr>
  </w:style>
  <w:style w:type="paragraph" w:styleId="Heading4">
    <w:name w:val="heading 4"/>
    <w:basedOn w:val="Normal"/>
    <w:link w:val="Heading4Char"/>
    <w:uiPriority w:val="1"/>
    <w:qFormat/>
    <w:rsid w:val="009D1C3B"/>
    <w:pPr>
      <w:ind w:left="112"/>
      <w:outlineLvl w:val="3"/>
    </w:pPr>
    <w:rPr>
      <w:rFonts w:ascii="ITCFranklinGothic LT Book" w:eastAsia="ITCFranklinGothic LT Book" w:hAnsi="ITCFranklinGothic LT Book"/>
      <w:sz w:val="32"/>
      <w:szCs w:val="32"/>
    </w:rPr>
  </w:style>
  <w:style w:type="paragraph" w:styleId="Heading5">
    <w:name w:val="heading 5"/>
    <w:basedOn w:val="Normal"/>
    <w:link w:val="Heading5Char"/>
    <w:uiPriority w:val="1"/>
    <w:qFormat/>
    <w:rsid w:val="009D1C3B"/>
    <w:pPr>
      <w:spacing w:before="23"/>
      <w:ind w:left="222"/>
      <w:outlineLvl w:val="4"/>
    </w:pPr>
    <w:rPr>
      <w:rFonts w:ascii="ITCFranklinGothic LT Demi" w:eastAsia="ITCFranklinGothic LT Demi" w:hAnsi="ITCFranklinGothic LT Demi"/>
      <w:sz w:val="21"/>
      <w:szCs w:val="21"/>
    </w:rPr>
  </w:style>
  <w:style w:type="paragraph" w:styleId="Heading7">
    <w:name w:val="heading 7"/>
    <w:basedOn w:val="Normal"/>
    <w:next w:val="Normal"/>
    <w:link w:val="Heading7Char"/>
    <w:uiPriority w:val="9"/>
    <w:semiHidden/>
    <w:unhideWhenUsed/>
    <w:qFormat/>
    <w:rsid w:val="00C83B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609B0"/>
    <w:rPr>
      <w:rFonts w:ascii="Arial" w:eastAsia="ITCFranklinGothic LT Demi" w:hAnsi="Arial" w:cs="Times New Roman"/>
      <w:b/>
      <w:color w:val="1A2859"/>
      <w:sz w:val="44"/>
      <w:szCs w:val="200"/>
      <w:lang w:val="en-GB"/>
    </w:rPr>
  </w:style>
  <w:style w:type="character" w:customStyle="1" w:styleId="Heading2Char">
    <w:name w:val="Heading 2 Char"/>
    <w:basedOn w:val="DefaultParagraphFont"/>
    <w:link w:val="Heading2"/>
    <w:uiPriority w:val="1"/>
    <w:rsid w:val="00F86E96"/>
    <w:rPr>
      <w:rFonts w:ascii="Arial" w:eastAsia="ITCFranklinGothic LT Demi" w:hAnsi="Arial" w:cs="Times New Roman"/>
      <w:b/>
      <w:sz w:val="24"/>
      <w:szCs w:val="88"/>
      <w:lang w:val="en-GB"/>
    </w:rPr>
  </w:style>
  <w:style w:type="character" w:customStyle="1" w:styleId="Heading3Char">
    <w:name w:val="Heading 3 Char"/>
    <w:basedOn w:val="DefaultParagraphFont"/>
    <w:link w:val="Heading3"/>
    <w:uiPriority w:val="1"/>
    <w:rsid w:val="006E1B32"/>
    <w:rPr>
      <w:rFonts w:ascii="Arial" w:eastAsia="ITCFranklinGothic LT Demi" w:hAnsi="Arial" w:cs="Times New Roman"/>
      <w:b/>
      <w:sz w:val="24"/>
      <w:szCs w:val="36"/>
      <w:lang w:val="en-GB"/>
    </w:rPr>
  </w:style>
  <w:style w:type="character" w:customStyle="1" w:styleId="Heading4Char">
    <w:name w:val="Heading 4 Char"/>
    <w:basedOn w:val="DefaultParagraphFont"/>
    <w:link w:val="Heading4"/>
    <w:uiPriority w:val="1"/>
    <w:rsid w:val="00C83B75"/>
    <w:rPr>
      <w:rFonts w:ascii="ITCFranklinGothic LT Book" w:eastAsia="ITCFranklinGothic LT Book" w:hAnsi="ITCFranklinGothic LT Book"/>
      <w:sz w:val="32"/>
      <w:szCs w:val="32"/>
    </w:rPr>
  </w:style>
  <w:style w:type="character" w:customStyle="1" w:styleId="Heading5Char">
    <w:name w:val="Heading 5 Char"/>
    <w:basedOn w:val="DefaultParagraphFont"/>
    <w:link w:val="Heading5"/>
    <w:uiPriority w:val="1"/>
    <w:rsid w:val="00C83B75"/>
    <w:rPr>
      <w:rFonts w:ascii="ITCFranklinGothic LT Demi" w:eastAsia="ITCFranklinGothic LT Demi" w:hAnsi="ITCFranklinGothic LT Demi"/>
      <w:sz w:val="21"/>
      <w:szCs w:val="21"/>
    </w:rPr>
  </w:style>
  <w:style w:type="character" w:customStyle="1" w:styleId="Heading7Char">
    <w:name w:val="Heading 7 Char"/>
    <w:basedOn w:val="DefaultParagraphFont"/>
    <w:link w:val="Heading7"/>
    <w:uiPriority w:val="9"/>
    <w:semiHidden/>
    <w:rsid w:val="00C83B75"/>
    <w:rPr>
      <w:rFonts w:asciiTheme="majorHAnsi" w:eastAsiaTheme="majorEastAsia" w:hAnsiTheme="majorHAnsi" w:cstheme="majorBidi"/>
      <w:i/>
      <w:iCs/>
      <w:color w:val="404040" w:themeColor="text1" w:themeTint="BF"/>
    </w:rPr>
  </w:style>
  <w:style w:type="paragraph" w:styleId="BodyText">
    <w:name w:val="Body Text"/>
    <w:basedOn w:val="Heading2"/>
    <w:link w:val="BodyTextChar"/>
    <w:uiPriority w:val="1"/>
    <w:qFormat/>
    <w:rsid w:val="00A83397"/>
    <w:pPr>
      <w:spacing w:before="4" w:after="4" w:line="276" w:lineRule="auto"/>
      <w:ind w:right="113"/>
    </w:pPr>
    <w:rPr>
      <w:rFonts w:cs="Arial"/>
      <w:b w:val="0"/>
      <w:sz w:val="22"/>
      <w:szCs w:val="22"/>
    </w:rPr>
  </w:style>
  <w:style w:type="character" w:customStyle="1" w:styleId="BodyTextChar">
    <w:name w:val="Body Text Char"/>
    <w:basedOn w:val="DefaultParagraphFont"/>
    <w:link w:val="BodyText"/>
    <w:uiPriority w:val="1"/>
    <w:rsid w:val="00A83397"/>
    <w:rPr>
      <w:rFonts w:ascii="Arial" w:eastAsia="ITCFranklinGothic LT Demi" w:hAnsi="Arial" w:cs="Arial"/>
      <w:lang w:val="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9D1C3B"/>
  </w:style>
  <w:style w:type="paragraph" w:customStyle="1" w:styleId="TableParagraph">
    <w:name w:val="Table Paragraph"/>
    <w:basedOn w:val="Normal"/>
    <w:uiPriority w:val="1"/>
    <w:qFormat/>
    <w:rsid w:val="009D1C3B"/>
  </w:style>
  <w:style w:type="table" w:styleId="TableGrid">
    <w:name w:val="Table Grid"/>
    <w:basedOn w:val="TableNormal"/>
    <w:rsid w:val="00FB209A"/>
    <w:pPr>
      <w:widowControl/>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B209A"/>
    <w:rPr>
      <w:rFonts w:ascii="Tahoma" w:hAnsi="Tahoma" w:cs="Tahoma"/>
      <w:sz w:val="16"/>
      <w:szCs w:val="16"/>
    </w:rPr>
  </w:style>
  <w:style w:type="character" w:customStyle="1" w:styleId="BalloonTextChar">
    <w:name w:val="Balloon Text Char"/>
    <w:basedOn w:val="DefaultParagraphFont"/>
    <w:link w:val="BalloonText"/>
    <w:rsid w:val="00FB209A"/>
    <w:rPr>
      <w:rFonts w:ascii="Tahoma" w:eastAsia="Times New Roman" w:hAnsi="Tahoma" w:cs="Tahoma"/>
      <w:sz w:val="16"/>
      <w:szCs w:val="16"/>
      <w:lang w:val="en-GB"/>
    </w:rPr>
  </w:style>
  <w:style w:type="paragraph" w:styleId="Header">
    <w:name w:val="header"/>
    <w:basedOn w:val="Normal"/>
    <w:link w:val="HeaderChar"/>
    <w:uiPriority w:val="99"/>
    <w:rsid w:val="00855726"/>
    <w:pPr>
      <w:tabs>
        <w:tab w:val="center" w:pos="4513"/>
        <w:tab w:val="right" w:pos="9026"/>
      </w:tabs>
    </w:pPr>
  </w:style>
  <w:style w:type="character" w:customStyle="1" w:styleId="HeaderChar">
    <w:name w:val="Header Char"/>
    <w:basedOn w:val="DefaultParagraphFont"/>
    <w:link w:val="Header"/>
    <w:uiPriority w:val="99"/>
    <w:rsid w:val="00855726"/>
    <w:rPr>
      <w:rFonts w:ascii="Arial" w:eastAsia="Times New Roman" w:hAnsi="Arial" w:cs="Times New Roman"/>
      <w:sz w:val="24"/>
      <w:szCs w:val="20"/>
      <w:lang w:val="en-GB"/>
    </w:rPr>
  </w:style>
  <w:style w:type="paragraph" w:styleId="Footer">
    <w:name w:val="footer"/>
    <w:basedOn w:val="Normal"/>
    <w:link w:val="FooterChar"/>
    <w:uiPriority w:val="99"/>
    <w:rsid w:val="00855726"/>
    <w:pPr>
      <w:tabs>
        <w:tab w:val="center" w:pos="4513"/>
        <w:tab w:val="right" w:pos="9026"/>
      </w:tabs>
    </w:pPr>
  </w:style>
  <w:style w:type="character" w:customStyle="1" w:styleId="FooterChar">
    <w:name w:val="Footer Char"/>
    <w:basedOn w:val="DefaultParagraphFont"/>
    <w:link w:val="Footer"/>
    <w:uiPriority w:val="99"/>
    <w:rsid w:val="00855726"/>
    <w:rPr>
      <w:rFonts w:ascii="Arial" w:eastAsia="Times New Roman" w:hAnsi="Arial" w:cs="Times New Roman"/>
      <w:sz w:val="24"/>
      <w:szCs w:val="20"/>
      <w:lang w:val="en-GB"/>
    </w:rPr>
  </w:style>
  <w:style w:type="character" w:styleId="PageNumber">
    <w:name w:val="page number"/>
    <w:basedOn w:val="DefaultParagraphFont"/>
    <w:rsid w:val="00855726"/>
  </w:style>
  <w:style w:type="table" w:styleId="MediumShading1-Accent3">
    <w:name w:val="Medium Shading 1 Accent 3"/>
    <w:basedOn w:val="TableNormal"/>
    <w:uiPriority w:val="63"/>
    <w:rsid w:val="00A455C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A455C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yperlink">
    <w:name w:val="Hyperlink"/>
    <w:basedOn w:val="DefaultParagraphFont"/>
    <w:uiPriority w:val="99"/>
    <w:rsid w:val="007139A5"/>
    <w:rPr>
      <w:color w:val="0000FF"/>
      <w:u w:val="single"/>
    </w:rPr>
  </w:style>
  <w:style w:type="paragraph" w:styleId="PlainText">
    <w:name w:val="Plain Text"/>
    <w:basedOn w:val="Normal"/>
    <w:link w:val="PlainTextChar"/>
    <w:uiPriority w:val="99"/>
    <w:unhideWhenUsed/>
    <w:rsid w:val="007139A5"/>
    <w:rPr>
      <w:rFonts w:ascii="Consolas" w:eastAsia="Calibri" w:hAnsi="Consolas" w:cs="Consolas"/>
      <w:sz w:val="21"/>
      <w:szCs w:val="21"/>
    </w:rPr>
  </w:style>
  <w:style w:type="character" w:customStyle="1" w:styleId="PlainTextChar">
    <w:name w:val="Plain Text Char"/>
    <w:basedOn w:val="DefaultParagraphFont"/>
    <w:link w:val="PlainText"/>
    <w:uiPriority w:val="99"/>
    <w:rsid w:val="007139A5"/>
    <w:rPr>
      <w:rFonts w:ascii="Consolas" w:eastAsia="Calibri" w:hAnsi="Consolas" w:cs="Consolas"/>
      <w:sz w:val="21"/>
      <w:szCs w:val="21"/>
      <w:lang w:val="en-GB"/>
    </w:rPr>
  </w:style>
  <w:style w:type="paragraph" w:customStyle="1" w:styleId="Default">
    <w:name w:val="Default"/>
    <w:rsid w:val="00E53BAA"/>
    <w:pPr>
      <w:widowControl/>
      <w:autoSpaceDE w:val="0"/>
      <w:autoSpaceDN w:val="0"/>
      <w:adjustRightInd w:val="0"/>
    </w:pPr>
    <w:rPr>
      <w:rFonts w:ascii="ITCFranklinGothic LT Book" w:hAnsi="ITCFranklinGothic LT Book" w:cs="ITCFranklinGothic LT Book"/>
      <w:color w:val="000000"/>
      <w:sz w:val="24"/>
      <w:szCs w:val="24"/>
      <w:lang w:val="en-GB"/>
    </w:rPr>
  </w:style>
  <w:style w:type="character" w:styleId="FollowedHyperlink">
    <w:name w:val="FollowedHyperlink"/>
    <w:basedOn w:val="DefaultParagraphFont"/>
    <w:rsid w:val="005E01CA"/>
    <w:rPr>
      <w:color w:val="800080" w:themeColor="followedHyperlink"/>
      <w:u w:val="single"/>
    </w:rPr>
  </w:style>
  <w:style w:type="paragraph" w:styleId="BodyText2">
    <w:name w:val="Body Text 2"/>
    <w:basedOn w:val="Normal"/>
    <w:link w:val="BodyText2Char"/>
    <w:rsid w:val="00116672"/>
    <w:rPr>
      <w:rFonts w:ascii="ITCFranklinGothic LT Book" w:hAnsi="ITCFranklinGothic LT Book"/>
      <w:color w:val="000080"/>
      <w:sz w:val="88"/>
      <w:szCs w:val="24"/>
    </w:rPr>
  </w:style>
  <w:style w:type="character" w:customStyle="1" w:styleId="BodyText2Char">
    <w:name w:val="Body Text 2 Char"/>
    <w:basedOn w:val="DefaultParagraphFont"/>
    <w:link w:val="BodyText2"/>
    <w:rsid w:val="00116672"/>
    <w:rPr>
      <w:rFonts w:ascii="ITCFranklinGothic LT Book" w:eastAsia="Times New Roman" w:hAnsi="ITCFranklinGothic LT Book" w:cs="Times New Roman"/>
      <w:color w:val="000080"/>
      <w:sz w:val="88"/>
      <w:szCs w:val="24"/>
      <w:lang w:val="en-GB"/>
    </w:rPr>
  </w:style>
  <w:style w:type="paragraph" w:styleId="BodyTextIndent2">
    <w:name w:val="Body Text Indent 2"/>
    <w:basedOn w:val="Normal"/>
    <w:link w:val="BodyTextIndent2Char"/>
    <w:rsid w:val="0081662D"/>
    <w:pPr>
      <w:spacing w:after="120" w:line="480" w:lineRule="auto"/>
      <w:ind w:left="283"/>
    </w:pPr>
  </w:style>
  <w:style w:type="character" w:customStyle="1" w:styleId="BodyTextIndent2Char">
    <w:name w:val="Body Text Indent 2 Char"/>
    <w:basedOn w:val="DefaultParagraphFont"/>
    <w:link w:val="BodyTextIndent2"/>
    <w:rsid w:val="0081662D"/>
    <w:rPr>
      <w:rFonts w:ascii="Arial" w:eastAsia="Times New Roman" w:hAnsi="Arial" w:cs="Times New Roman"/>
      <w:sz w:val="24"/>
      <w:szCs w:val="20"/>
      <w:lang w:val="en-GB"/>
    </w:rPr>
  </w:style>
  <w:style w:type="character" w:styleId="CommentReference">
    <w:name w:val="annotation reference"/>
    <w:basedOn w:val="DefaultParagraphFont"/>
    <w:semiHidden/>
    <w:unhideWhenUsed/>
    <w:rsid w:val="000365CE"/>
    <w:rPr>
      <w:sz w:val="16"/>
      <w:szCs w:val="16"/>
    </w:rPr>
  </w:style>
  <w:style w:type="paragraph" w:styleId="CommentText">
    <w:name w:val="annotation text"/>
    <w:basedOn w:val="Normal"/>
    <w:link w:val="CommentTextChar"/>
    <w:semiHidden/>
    <w:unhideWhenUsed/>
    <w:rsid w:val="000365CE"/>
    <w:rPr>
      <w:sz w:val="20"/>
    </w:rPr>
  </w:style>
  <w:style w:type="character" w:customStyle="1" w:styleId="CommentTextChar">
    <w:name w:val="Comment Text Char"/>
    <w:basedOn w:val="DefaultParagraphFont"/>
    <w:link w:val="CommentText"/>
    <w:semiHidden/>
    <w:rsid w:val="000365CE"/>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semiHidden/>
    <w:unhideWhenUsed/>
    <w:rsid w:val="000365CE"/>
    <w:rPr>
      <w:b/>
      <w:bCs/>
    </w:rPr>
  </w:style>
  <w:style w:type="character" w:customStyle="1" w:styleId="CommentSubjectChar">
    <w:name w:val="Comment Subject Char"/>
    <w:basedOn w:val="CommentTextChar"/>
    <w:link w:val="CommentSubject"/>
    <w:semiHidden/>
    <w:rsid w:val="000365CE"/>
    <w:rPr>
      <w:rFonts w:ascii="Arial" w:eastAsia="Times New Roman" w:hAnsi="Arial" w:cs="Times New Roman"/>
      <w:b/>
      <w:bCs/>
      <w:sz w:val="20"/>
      <w:szCs w:val="20"/>
      <w:lang w:val="en-GB"/>
    </w:rPr>
  </w:style>
  <w:style w:type="paragraph" w:styleId="Revision">
    <w:name w:val="Revision"/>
    <w:hidden/>
    <w:uiPriority w:val="99"/>
    <w:semiHidden/>
    <w:rsid w:val="00E73E1A"/>
    <w:pPr>
      <w:widowControl/>
    </w:pPr>
    <w:rPr>
      <w:rFonts w:ascii="Arial" w:eastAsia="Times New Roman" w:hAnsi="Arial" w:cs="Times New Roman"/>
      <w:sz w:val="24"/>
      <w:szCs w:val="20"/>
      <w:lang w:val="en-GB"/>
    </w:rPr>
  </w:style>
  <w:style w:type="character" w:customStyle="1" w:styleId="FootnoteTextChar">
    <w:name w:val="Footnote Text Char"/>
    <w:basedOn w:val="DefaultParagraphFont"/>
    <w:link w:val="FootnoteText"/>
    <w:rsid w:val="00C632B4"/>
    <w:rPr>
      <w:rFonts w:ascii="Arial" w:eastAsia="Times New Roman" w:hAnsi="Arial" w:cs="Times New Roman"/>
      <w:sz w:val="20"/>
      <w:szCs w:val="20"/>
      <w:lang w:val="en-GB"/>
    </w:rPr>
  </w:style>
  <w:style w:type="paragraph" w:styleId="FootnoteText">
    <w:name w:val="footnote text"/>
    <w:basedOn w:val="Normal"/>
    <w:link w:val="FootnoteTextChar"/>
    <w:rsid w:val="00C632B4"/>
    <w:rPr>
      <w:sz w:val="20"/>
    </w:rPr>
  </w:style>
  <w:style w:type="character" w:customStyle="1" w:styleId="FootnoteTextChar1">
    <w:name w:val="Footnote Text Char1"/>
    <w:basedOn w:val="DefaultParagraphFont"/>
    <w:semiHidden/>
    <w:rsid w:val="00C632B4"/>
    <w:rPr>
      <w:rFonts w:ascii="Arial" w:eastAsia="Times New Roman" w:hAnsi="Arial" w:cs="Times New Roman"/>
      <w:sz w:val="20"/>
      <w:szCs w:val="20"/>
      <w:lang w:val="en-GB"/>
    </w:rPr>
  </w:style>
  <w:style w:type="paragraph" w:styleId="Caption">
    <w:name w:val="caption"/>
    <w:basedOn w:val="Normal"/>
    <w:next w:val="Normal"/>
    <w:uiPriority w:val="35"/>
    <w:unhideWhenUsed/>
    <w:qFormat/>
    <w:rsid w:val="00C632B4"/>
    <w:pPr>
      <w:spacing w:after="200"/>
    </w:pPr>
    <w:rPr>
      <w:i/>
      <w:iCs/>
      <w:color w:val="1F497D" w:themeColor="text2"/>
      <w:sz w:val="18"/>
      <w:szCs w:val="18"/>
    </w:rPr>
  </w:style>
  <w:style w:type="character" w:styleId="FootnoteReference">
    <w:name w:val="footnote reference"/>
    <w:basedOn w:val="DefaultParagraphFont"/>
    <w:semiHidden/>
    <w:unhideWhenUsed/>
    <w:rsid w:val="00C632B4"/>
    <w:rPr>
      <w:vertAlign w:val="superscript"/>
    </w:rPr>
  </w:style>
  <w:style w:type="paragraph" w:styleId="ListBullet">
    <w:name w:val="List Bullet"/>
    <w:basedOn w:val="Normal"/>
    <w:semiHidden/>
    <w:unhideWhenUsed/>
    <w:rsid w:val="00C632B4"/>
    <w:pPr>
      <w:numPr>
        <w:numId w:val="3"/>
      </w:numPr>
      <w:contextualSpacing/>
    </w:pPr>
  </w:style>
  <w:style w:type="paragraph" w:customStyle="1" w:styleId="TableText">
    <w:name w:val="Table Text"/>
    <w:rsid w:val="00156501"/>
    <w:pPr>
      <w:widowControl/>
    </w:pPr>
    <w:rPr>
      <w:rFonts w:ascii="Times New Roman" w:eastAsia="Times New Roman" w:hAnsi="Times New Roman" w:cs="Times New Roman"/>
      <w:snapToGrid w:val="0"/>
      <w:color w:val="000000"/>
      <w:sz w:val="24"/>
      <w:szCs w:val="20"/>
      <w:lang w:val="en-GB"/>
    </w:rPr>
  </w:style>
  <w:style w:type="paragraph" w:styleId="EndnoteText">
    <w:name w:val="endnote text"/>
    <w:basedOn w:val="Normal"/>
    <w:link w:val="EndnoteTextChar"/>
    <w:semiHidden/>
    <w:unhideWhenUsed/>
    <w:rsid w:val="001A1FCE"/>
    <w:rPr>
      <w:sz w:val="20"/>
    </w:rPr>
  </w:style>
  <w:style w:type="character" w:customStyle="1" w:styleId="EndnoteTextChar">
    <w:name w:val="Endnote Text Char"/>
    <w:basedOn w:val="DefaultParagraphFont"/>
    <w:link w:val="EndnoteText"/>
    <w:semiHidden/>
    <w:rsid w:val="001A1FCE"/>
    <w:rPr>
      <w:rFonts w:ascii="Arial" w:eastAsia="Times New Roman" w:hAnsi="Arial" w:cs="Times New Roman"/>
      <w:sz w:val="20"/>
      <w:szCs w:val="20"/>
      <w:lang w:val="en-GB"/>
    </w:rPr>
  </w:style>
  <w:style w:type="character" w:styleId="EndnoteReference">
    <w:name w:val="endnote reference"/>
    <w:basedOn w:val="DefaultParagraphFont"/>
    <w:semiHidden/>
    <w:unhideWhenUsed/>
    <w:rsid w:val="001A1FCE"/>
    <w:rPr>
      <w:vertAlign w:val="superscript"/>
    </w:rPr>
  </w:style>
  <w:style w:type="paragraph" w:styleId="TOCHeading">
    <w:name w:val="TOC Heading"/>
    <w:basedOn w:val="Heading1"/>
    <w:next w:val="Normal"/>
    <w:uiPriority w:val="39"/>
    <w:unhideWhenUsed/>
    <w:qFormat/>
    <w:rsid w:val="00A83397"/>
    <w:pPr>
      <w:keepNext/>
      <w:keepLines/>
      <w:spacing w:before="240" w:line="259" w:lineRule="auto"/>
      <w:ind w:left="0"/>
      <w:outlineLvl w:val="9"/>
    </w:pPr>
    <w:rPr>
      <w:rFonts w:asciiTheme="majorHAnsi" w:eastAsiaTheme="majorEastAsia" w:hAnsiTheme="majorHAnsi" w:cstheme="majorBidi"/>
      <w:b w:val="0"/>
      <w:color w:val="365F91" w:themeColor="accent1" w:themeShade="BF"/>
      <w:sz w:val="32"/>
      <w:szCs w:val="32"/>
      <w:lang w:val="en-US"/>
    </w:rPr>
  </w:style>
  <w:style w:type="paragraph" w:styleId="TOC2">
    <w:name w:val="toc 2"/>
    <w:basedOn w:val="Normal"/>
    <w:next w:val="Normal"/>
    <w:autoRedefine/>
    <w:uiPriority w:val="39"/>
    <w:unhideWhenUsed/>
    <w:rsid w:val="00A83397"/>
    <w:pPr>
      <w:spacing w:after="100"/>
      <w:ind w:left="240"/>
    </w:pPr>
  </w:style>
  <w:style w:type="paragraph" w:styleId="TOC1">
    <w:name w:val="toc 1"/>
    <w:basedOn w:val="Normal"/>
    <w:next w:val="Normal"/>
    <w:autoRedefine/>
    <w:uiPriority w:val="39"/>
    <w:unhideWhenUsed/>
    <w:rsid w:val="00A83397"/>
    <w:pPr>
      <w:spacing w:after="100"/>
    </w:pPr>
  </w:style>
  <w:style w:type="paragraph" w:styleId="TOC3">
    <w:name w:val="toc 3"/>
    <w:basedOn w:val="Normal"/>
    <w:next w:val="Normal"/>
    <w:autoRedefine/>
    <w:uiPriority w:val="39"/>
    <w:unhideWhenUsed/>
    <w:rsid w:val="00A83397"/>
    <w:pPr>
      <w:spacing w:after="100"/>
      <w:ind w:left="480"/>
    </w:pPr>
  </w:style>
  <w:style w:type="paragraph" w:styleId="NormalWeb">
    <w:name w:val="Normal (Web)"/>
    <w:basedOn w:val="Normal"/>
    <w:uiPriority w:val="99"/>
    <w:unhideWhenUsed/>
    <w:rsid w:val="00A96E43"/>
    <w:pPr>
      <w:spacing w:before="100" w:beforeAutospacing="1" w:after="100" w:afterAutospacing="1"/>
    </w:pPr>
    <w:rPr>
      <w:rFonts w:ascii="Times New Roman" w:eastAsiaTheme="minorEastAsia" w:hAnsi="Times New Roman"/>
      <w:szCs w:val="24"/>
      <w:lang w:eastAsia="en-GB"/>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FC3947"/>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3795">
      <w:bodyDiv w:val="1"/>
      <w:marLeft w:val="0"/>
      <w:marRight w:val="0"/>
      <w:marTop w:val="0"/>
      <w:marBottom w:val="0"/>
      <w:divBdr>
        <w:top w:val="none" w:sz="0" w:space="0" w:color="auto"/>
        <w:left w:val="none" w:sz="0" w:space="0" w:color="auto"/>
        <w:bottom w:val="none" w:sz="0" w:space="0" w:color="auto"/>
        <w:right w:val="none" w:sz="0" w:space="0" w:color="auto"/>
      </w:divBdr>
    </w:div>
    <w:div w:id="112943975">
      <w:bodyDiv w:val="1"/>
      <w:marLeft w:val="0"/>
      <w:marRight w:val="0"/>
      <w:marTop w:val="0"/>
      <w:marBottom w:val="0"/>
      <w:divBdr>
        <w:top w:val="none" w:sz="0" w:space="0" w:color="auto"/>
        <w:left w:val="none" w:sz="0" w:space="0" w:color="auto"/>
        <w:bottom w:val="none" w:sz="0" w:space="0" w:color="auto"/>
        <w:right w:val="none" w:sz="0" w:space="0" w:color="auto"/>
      </w:divBdr>
    </w:div>
    <w:div w:id="150799589">
      <w:bodyDiv w:val="1"/>
      <w:marLeft w:val="0"/>
      <w:marRight w:val="0"/>
      <w:marTop w:val="0"/>
      <w:marBottom w:val="0"/>
      <w:divBdr>
        <w:top w:val="none" w:sz="0" w:space="0" w:color="auto"/>
        <w:left w:val="none" w:sz="0" w:space="0" w:color="auto"/>
        <w:bottom w:val="none" w:sz="0" w:space="0" w:color="auto"/>
        <w:right w:val="none" w:sz="0" w:space="0" w:color="auto"/>
      </w:divBdr>
    </w:div>
    <w:div w:id="157890374">
      <w:bodyDiv w:val="1"/>
      <w:marLeft w:val="0"/>
      <w:marRight w:val="0"/>
      <w:marTop w:val="0"/>
      <w:marBottom w:val="0"/>
      <w:divBdr>
        <w:top w:val="none" w:sz="0" w:space="0" w:color="auto"/>
        <w:left w:val="none" w:sz="0" w:space="0" w:color="auto"/>
        <w:bottom w:val="none" w:sz="0" w:space="0" w:color="auto"/>
        <w:right w:val="none" w:sz="0" w:space="0" w:color="auto"/>
      </w:divBdr>
    </w:div>
    <w:div w:id="214438497">
      <w:bodyDiv w:val="1"/>
      <w:marLeft w:val="0"/>
      <w:marRight w:val="0"/>
      <w:marTop w:val="0"/>
      <w:marBottom w:val="0"/>
      <w:divBdr>
        <w:top w:val="none" w:sz="0" w:space="0" w:color="auto"/>
        <w:left w:val="none" w:sz="0" w:space="0" w:color="auto"/>
        <w:bottom w:val="none" w:sz="0" w:space="0" w:color="auto"/>
        <w:right w:val="none" w:sz="0" w:space="0" w:color="auto"/>
      </w:divBdr>
    </w:div>
    <w:div w:id="249169579">
      <w:bodyDiv w:val="1"/>
      <w:marLeft w:val="0"/>
      <w:marRight w:val="0"/>
      <w:marTop w:val="0"/>
      <w:marBottom w:val="0"/>
      <w:divBdr>
        <w:top w:val="none" w:sz="0" w:space="0" w:color="auto"/>
        <w:left w:val="none" w:sz="0" w:space="0" w:color="auto"/>
        <w:bottom w:val="none" w:sz="0" w:space="0" w:color="auto"/>
        <w:right w:val="none" w:sz="0" w:space="0" w:color="auto"/>
      </w:divBdr>
    </w:div>
    <w:div w:id="342589105">
      <w:bodyDiv w:val="1"/>
      <w:marLeft w:val="0"/>
      <w:marRight w:val="0"/>
      <w:marTop w:val="0"/>
      <w:marBottom w:val="0"/>
      <w:divBdr>
        <w:top w:val="none" w:sz="0" w:space="0" w:color="auto"/>
        <w:left w:val="none" w:sz="0" w:space="0" w:color="auto"/>
        <w:bottom w:val="none" w:sz="0" w:space="0" w:color="auto"/>
        <w:right w:val="none" w:sz="0" w:space="0" w:color="auto"/>
      </w:divBdr>
    </w:div>
    <w:div w:id="569270671">
      <w:bodyDiv w:val="1"/>
      <w:marLeft w:val="0"/>
      <w:marRight w:val="0"/>
      <w:marTop w:val="0"/>
      <w:marBottom w:val="0"/>
      <w:divBdr>
        <w:top w:val="none" w:sz="0" w:space="0" w:color="auto"/>
        <w:left w:val="none" w:sz="0" w:space="0" w:color="auto"/>
        <w:bottom w:val="none" w:sz="0" w:space="0" w:color="auto"/>
        <w:right w:val="none" w:sz="0" w:space="0" w:color="auto"/>
      </w:divBdr>
    </w:div>
    <w:div w:id="813721154">
      <w:bodyDiv w:val="1"/>
      <w:marLeft w:val="0"/>
      <w:marRight w:val="0"/>
      <w:marTop w:val="0"/>
      <w:marBottom w:val="0"/>
      <w:divBdr>
        <w:top w:val="none" w:sz="0" w:space="0" w:color="auto"/>
        <w:left w:val="none" w:sz="0" w:space="0" w:color="auto"/>
        <w:bottom w:val="none" w:sz="0" w:space="0" w:color="auto"/>
        <w:right w:val="none" w:sz="0" w:space="0" w:color="auto"/>
      </w:divBdr>
    </w:div>
    <w:div w:id="950278965">
      <w:bodyDiv w:val="1"/>
      <w:marLeft w:val="0"/>
      <w:marRight w:val="0"/>
      <w:marTop w:val="0"/>
      <w:marBottom w:val="0"/>
      <w:divBdr>
        <w:top w:val="none" w:sz="0" w:space="0" w:color="auto"/>
        <w:left w:val="none" w:sz="0" w:space="0" w:color="auto"/>
        <w:bottom w:val="none" w:sz="0" w:space="0" w:color="auto"/>
        <w:right w:val="none" w:sz="0" w:space="0" w:color="auto"/>
      </w:divBdr>
    </w:div>
    <w:div w:id="1017078744">
      <w:bodyDiv w:val="1"/>
      <w:marLeft w:val="0"/>
      <w:marRight w:val="0"/>
      <w:marTop w:val="0"/>
      <w:marBottom w:val="0"/>
      <w:divBdr>
        <w:top w:val="none" w:sz="0" w:space="0" w:color="auto"/>
        <w:left w:val="none" w:sz="0" w:space="0" w:color="auto"/>
        <w:bottom w:val="none" w:sz="0" w:space="0" w:color="auto"/>
        <w:right w:val="none" w:sz="0" w:space="0" w:color="auto"/>
      </w:divBdr>
    </w:div>
    <w:div w:id="1636254432">
      <w:bodyDiv w:val="1"/>
      <w:marLeft w:val="0"/>
      <w:marRight w:val="0"/>
      <w:marTop w:val="0"/>
      <w:marBottom w:val="0"/>
      <w:divBdr>
        <w:top w:val="none" w:sz="0" w:space="0" w:color="auto"/>
        <w:left w:val="none" w:sz="0" w:space="0" w:color="auto"/>
        <w:bottom w:val="none" w:sz="0" w:space="0" w:color="auto"/>
        <w:right w:val="none" w:sz="0" w:space="0" w:color="auto"/>
      </w:divBdr>
    </w:div>
    <w:div w:id="1721856462">
      <w:bodyDiv w:val="1"/>
      <w:marLeft w:val="0"/>
      <w:marRight w:val="0"/>
      <w:marTop w:val="0"/>
      <w:marBottom w:val="0"/>
      <w:divBdr>
        <w:top w:val="none" w:sz="0" w:space="0" w:color="auto"/>
        <w:left w:val="none" w:sz="0" w:space="0" w:color="auto"/>
        <w:bottom w:val="none" w:sz="0" w:space="0" w:color="auto"/>
        <w:right w:val="none" w:sz="0" w:space="0" w:color="auto"/>
      </w:divBdr>
    </w:div>
    <w:div w:id="1760906071">
      <w:bodyDiv w:val="1"/>
      <w:marLeft w:val="0"/>
      <w:marRight w:val="0"/>
      <w:marTop w:val="0"/>
      <w:marBottom w:val="0"/>
      <w:divBdr>
        <w:top w:val="none" w:sz="0" w:space="0" w:color="auto"/>
        <w:left w:val="none" w:sz="0" w:space="0" w:color="auto"/>
        <w:bottom w:val="none" w:sz="0" w:space="0" w:color="auto"/>
        <w:right w:val="none" w:sz="0" w:space="0" w:color="auto"/>
      </w:divBdr>
    </w:div>
    <w:div w:id="1840921912">
      <w:bodyDiv w:val="1"/>
      <w:marLeft w:val="0"/>
      <w:marRight w:val="0"/>
      <w:marTop w:val="0"/>
      <w:marBottom w:val="0"/>
      <w:divBdr>
        <w:top w:val="none" w:sz="0" w:space="0" w:color="auto"/>
        <w:left w:val="none" w:sz="0" w:space="0" w:color="auto"/>
        <w:bottom w:val="none" w:sz="0" w:space="0" w:color="auto"/>
        <w:right w:val="none" w:sz="0" w:space="0" w:color="auto"/>
      </w:divBdr>
    </w:div>
    <w:div w:id="192145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cid:image001.png@01D07C26.A0A73AE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blog.ons.gov.uk/2020/10/12/measuring-the-labour-market-during-the-pandemi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ns.gov.uk/file?uri=/employmentandlabourmarket/peopleinwork/employmentandemployeetypes/methodologies/labourforcesurveyuserguidance/volume1.pdf" TargetMode="External"/><Relationship Id="rId14" Type="http://schemas.openxmlformats.org/officeDocument/2006/relationships/hyperlink" Target="https://www.nisra.gov.uk/publications/background-information-lf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1305467\RECORDS-NI_7.1.2\Offline%20Records%20(RN)\LFS%20~%20Market%20Statistics%20-%20Labour%20Force%20Survey%20-%20Internal%20Research(5)\Impact%20of%20new%20tenure%20weights%20on%20published%20estimat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305467\RECORDS-NI_7.1.2\Offline%20Records%20(RN)\LFS%20~%20Market%20Statistics%20-%20Labour%20Force%20Survey%20-%20Internal%20Research(5)\Impact%20of%20new%20tenure%20weights%20on%20published%20estimat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305467\RECORDS-NI_7.1.2\Offline%20Records%20(RN)\LFS%20~%20Market%20Statistics%20-%20Labour%20Force%20Survey%20-%20Internal%20Research(5)\Impact%20of%20new%20tenure%20weights%20on%20published%20estimate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84112149633096"/>
          <c:y val="8.895926822274744E-2"/>
          <c:w val="0.85115337738169361"/>
          <c:h val="0.79816017303246956"/>
        </c:manualLayout>
      </c:layout>
      <c:lineChart>
        <c:grouping val="standard"/>
        <c:varyColors val="0"/>
        <c:ser>
          <c:idx val="1"/>
          <c:order val="0"/>
          <c:tx>
            <c:strRef>
              <c:f>Data!$E$2</c:f>
              <c:strCache>
                <c:ptCount val="1"/>
                <c:pt idx="0">
                  <c:v>Previously Published</c:v>
                </c:pt>
              </c:strCache>
            </c:strRef>
          </c:tx>
          <c:spPr>
            <a:ln w="28575" cap="rnd">
              <a:solidFill>
                <a:srgbClr val="00205B"/>
              </a:solidFill>
              <a:round/>
            </a:ln>
            <a:effectLst/>
          </c:spPr>
          <c:marker>
            <c:symbol val="none"/>
          </c:marker>
          <c:cat>
            <c:strRef>
              <c:f>Data!$B$3:$B$7</c:f>
              <c:strCache>
                <c:ptCount val="5"/>
                <c:pt idx="0">
                  <c:v>Jan-Mar 2020</c:v>
                </c:pt>
                <c:pt idx="1">
                  <c:v>Feb-Apr 2020</c:v>
                </c:pt>
                <c:pt idx="2">
                  <c:v>Mar-May 2020</c:v>
                </c:pt>
                <c:pt idx="3">
                  <c:v>Apr-Jun 2020</c:v>
                </c:pt>
                <c:pt idx="4">
                  <c:v>May-Jul 2020</c:v>
                </c:pt>
              </c:strCache>
            </c:strRef>
          </c:cat>
          <c:val>
            <c:numRef>
              <c:f>Data!$E$3:$E$7</c:f>
              <c:numCache>
                <c:formatCode>0.0</c:formatCode>
                <c:ptCount val="5"/>
                <c:pt idx="0">
                  <c:v>72.398363599443755</c:v>
                </c:pt>
                <c:pt idx="1">
                  <c:v>71.602899473415391</c:v>
                </c:pt>
                <c:pt idx="2">
                  <c:v>71.614799331941583</c:v>
                </c:pt>
                <c:pt idx="3">
                  <c:v>71.743741517294708</c:v>
                </c:pt>
                <c:pt idx="4">
                  <c:v>71.549798204872673</c:v>
                </c:pt>
              </c:numCache>
            </c:numRef>
          </c:val>
          <c:smooth val="0"/>
        </c:ser>
        <c:ser>
          <c:idx val="2"/>
          <c:order val="1"/>
          <c:tx>
            <c:strRef>
              <c:f>Data!$F$2</c:f>
              <c:strCache>
                <c:ptCount val="1"/>
                <c:pt idx="0">
                  <c:v>Revised</c:v>
                </c:pt>
              </c:strCache>
            </c:strRef>
          </c:tx>
          <c:spPr>
            <a:ln w="28575" cap="rnd">
              <a:solidFill>
                <a:srgbClr val="CEDC00"/>
              </a:solidFill>
              <a:round/>
            </a:ln>
            <a:effectLst/>
          </c:spPr>
          <c:marker>
            <c:symbol val="none"/>
          </c:marker>
          <c:cat>
            <c:strRef>
              <c:f>Data!$B$3:$B$7</c:f>
              <c:strCache>
                <c:ptCount val="5"/>
                <c:pt idx="0">
                  <c:v>Jan-Mar 2020</c:v>
                </c:pt>
                <c:pt idx="1">
                  <c:v>Feb-Apr 2020</c:v>
                </c:pt>
                <c:pt idx="2">
                  <c:v>Mar-May 2020</c:v>
                </c:pt>
                <c:pt idx="3">
                  <c:v>Apr-Jun 2020</c:v>
                </c:pt>
                <c:pt idx="4">
                  <c:v>May-Jul 2020</c:v>
                </c:pt>
              </c:strCache>
            </c:strRef>
          </c:cat>
          <c:val>
            <c:numRef>
              <c:f>Data!$F$3:$F$7</c:f>
              <c:numCache>
                <c:formatCode>0.0</c:formatCode>
                <c:ptCount val="5"/>
                <c:pt idx="0">
                  <c:v>71.947275742570397</c:v>
                </c:pt>
                <c:pt idx="1">
                  <c:v>71.162305173501878</c:v>
                </c:pt>
                <c:pt idx="2">
                  <c:v>70.908407352310263</c:v>
                </c:pt>
                <c:pt idx="3">
                  <c:v>71.003382334498838</c:v>
                </c:pt>
                <c:pt idx="4">
                  <c:v>70.432407163975071</c:v>
                </c:pt>
              </c:numCache>
            </c:numRef>
          </c:val>
          <c:smooth val="0"/>
        </c:ser>
        <c:dLbls>
          <c:showLegendKey val="0"/>
          <c:showVal val="0"/>
          <c:showCatName val="0"/>
          <c:showSerName val="0"/>
          <c:showPercent val="0"/>
          <c:showBubbleSize val="0"/>
        </c:dLbls>
        <c:smooth val="0"/>
        <c:axId val="585498192"/>
        <c:axId val="585492312"/>
      </c:lineChart>
      <c:catAx>
        <c:axId val="5854981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492312"/>
        <c:crosses val="autoZero"/>
        <c:auto val="1"/>
        <c:lblAlgn val="ctr"/>
        <c:lblOffset val="100"/>
        <c:noMultiLvlLbl val="0"/>
      </c:catAx>
      <c:valAx>
        <c:axId val="585492312"/>
        <c:scaling>
          <c:orientation val="minMax"/>
          <c:min val="69.5"/>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aseline="0"/>
                  <a:t>Rate %</a:t>
                </a:r>
                <a:endParaRPr lang="en-GB"/>
              </a:p>
            </c:rich>
          </c:tx>
          <c:layout>
            <c:manualLayout>
              <c:xMode val="edge"/>
              <c:yMode val="edge"/>
              <c:x val="7.494204835528448E-2"/>
              <c:y val="1.7487088053750512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498192"/>
        <c:crosses val="autoZero"/>
        <c:crossBetween val="between"/>
      </c:valAx>
      <c:spPr>
        <a:noFill/>
        <a:ln>
          <a:noFill/>
        </a:ln>
        <a:effectLst/>
      </c:spPr>
    </c:plotArea>
    <c:legend>
      <c:legendPos val="tr"/>
      <c:layout>
        <c:manualLayout>
          <c:xMode val="edge"/>
          <c:yMode val="edge"/>
          <c:x val="0.70545282719122082"/>
          <c:y val="0.10190311218447033"/>
          <c:w val="0.26013385419424745"/>
          <c:h val="0.101154611780226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84112149633096"/>
          <c:y val="9.3939388958382303E-2"/>
          <c:w val="0.85115337738169361"/>
          <c:h val="0.78065489643654939"/>
        </c:manualLayout>
      </c:layout>
      <c:lineChart>
        <c:grouping val="standard"/>
        <c:varyColors val="0"/>
        <c:ser>
          <c:idx val="0"/>
          <c:order val="0"/>
          <c:tx>
            <c:strRef>
              <c:f>Data!$G$2</c:f>
              <c:strCache>
                <c:ptCount val="1"/>
                <c:pt idx="0">
                  <c:v>Previously Published</c:v>
                </c:pt>
              </c:strCache>
            </c:strRef>
          </c:tx>
          <c:spPr>
            <a:ln w="28575" cap="rnd">
              <a:solidFill>
                <a:srgbClr val="00205B"/>
              </a:solidFill>
              <a:round/>
            </a:ln>
            <a:effectLst/>
          </c:spPr>
          <c:marker>
            <c:symbol val="none"/>
          </c:marker>
          <c:cat>
            <c:strRef>
              <c:f>Data!$B$3:$B$7</c:f>
              <c:strCache>
                <c:ptCount val="5"/>
                <c:pt idx="0">
                  <c:v>Jan-Mar 2020</c:v>
                </c:pt>
                <c:pt idx="1">
                  <c:v>Feb-Apr 2020</c:v>
                </c:pt>
                <c:pt idx="2">
                  <c:v>Mar-May 2020</c:v>
                </c:pt>
                <c:pt idx="3">
                  <c:v>Apr-Jun 2020</c:v>
                </c:pt>
                <c:pt idx="4">
                  <c:v>May-Jul 2020</c:v>
                </c:pt>
              </c:strCache>
            </c:strRef>
          </c:cat>
          <c:val>
            <c:numRef>
              <c:f>Data!$G$3:$G$7</c:f>
              <c:numCache>
                <c:formatCode>0.0</c:formatCode>
                <c:ptCount val="5"/>
                <c:pt idx="0">
                  <c:v>25.798721494075625</c:v>
                </c:pt>
                <c:pt idx="1">
                  <c:v>26.679494376452855</c:v>
                </c:pt>
                <c:pt idx="2">
                  <c:v>26.611321143909013</c:v>
                </c:pt>
                <c:pt idx="3">
                  <c:v>26.368639521900583</c:v>
                </c:pt>
                <c:pt idx="4">
                  <c:v>26.257291101119286</c:v>
                </c:pt>
              </c:numCache>
            </c:numRef>
          </c:val>
          <c:smooth val="0"/>
        </c:ser>
        <c:ser>
          <c:idx val="1"/>
          <c:order val="1"/>
          <c:tx>
            <c:strRef>
              <c:f>Data!$H$2</c:f>
              <c:strCache>
                <c:ptCount val="1"/>
                <c:pt idx="0">
                  <c:v>Revised</c:v>
                </c:pt>
              </c:strCache>
            </c:strRef>
          </c:tx>
          <c:spPr>
            <a:ln w="28575" cap="rnd">
              <a:solidFill>
                <a:srgbClr val="CEDC00"/>
              </a:solidFill>
              <a:round/>
            </a:ln>
            <a:effectLst/>
          </c:spPr>
          <c:marker>
            <c:symbol val="none"/>
          </c:marker>
          <c:cat>
            <c:strRef>
              <c:f>Data!$B$3:$B$7</c:f>
              <c:strCache>
                <c:ptCount val="5"/>
                <c:pt idx="0">
                  <c:v>Jan-Mar 2020</c:v>
                </c:pt>
                <c:pt idx="1">
                  <c:v>Feb-Apr 2020</c:v>
                </c:pt>
                <c:pt idx="2">
                  <c:v>Mar-May 2020</c:v>
                </c:pt>
                <c:pt idx="3">
                  <c:v>Apr-Jun 2020</c:v>
                </c:pt>
                <c:pt idx="4">
                  <c:v>May-Jul 2020</c:v>
                </c:pt>
              </c:strCache>
            </c:strRef>
          </c:cat>
          <c:val>
            <c:numRef>
              <c:f>Data!$H$3:$H$7</c:f>
              <c:numCache>
                <c:formatCode>0.0</c:formatCode>
                <c:ptCount val="5"/>
                <c:pt idx="0">
                  <c:v>26.232065577309914</c:v>
                </c:pt>
                <c:pt idx="1">
                  <c:v>27.08395510720565</c:v>
                </c:pt>
                <c:pt idx="2">
                  <c:v>27.282069526378486</c:v>
                </c:pt>
                <c:pt idx="3">
                  <c:v>27.081826801560897</c:v>
                </c:pt>
                <c:pt idx="4">
                  <c:v>27.317474289477357</c:v>
                </c:pt>
              </c:numCache>
            </c:numRef>
          </c:val>
          <c:smooth val="0"/>
        </c:ser>
        <c:dLbls>
          <c:showLegendKey val="0"/>
          <c:showVal val="0"/>
          <c:showCatName val="0"/>
          <c:showSerName val="0"/>
          <c:showPercent val="0"/>
          <c:showBubbleSize val="0"/>
        </c:dLbls>
        <c:smooth val="0"/>
        <c:axId val="585493096"/>
        <c:axId val="585493488"/>
      </c:lineChart>
      <c:catAx>
        <c:axId val="5854930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493488"/>
        <c:crosses val="autoZero"/>
        <c:auto val="1"/>
        <c:lblAlgn val="ctr"/>
        <c:lblOffset val="100"/>
        <c:noMultiLvlLbl val="0"/>
      </c:catAx>
      <c:valAx>
        <c:axId val="585493488"/>
        <c:scaling>
          <c:orientation val="minMax"/>
          <c:max val="28"/>
          <c:min val="25"/>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t" anchorCtr="0"/>
              <a:lstStyle/>
              <a:p>
                <a:pPr>
                  <a:defRPr sz="1000" b="0" i="0" u="none" strike="noStrike" kern="1200" baseline="0">
                    <a:solidFill>
                      <a:schemeClr val="tx1">
                        <a:lumMod val="65000"/>
                        <a:lumOff val="35000"/>
                      </a:schemeClr>
                    </a:solidFill>
                    <a:latin typeface="+mn-lt"/>
                    <a:ea typeface="+mn-ea"/>
                    <a:cs typeface="+mn-cs"/>
                  </a:defRPr>
                </a:pPr>
                <a:r>
                  <a:rPr lang="en-GB" baseline="0"/>
                  <a:t>Rate %</a:t>
                </a:r>
                <a:endParaRPr lang="en-GB"/>
              </a:p>
            </c:rich>
          </c:tx>
          <c:layout>
            <c:manualLayout>
              <c:xMode val="edge"/>
              <c:yMode val="edge"/>
              <c:x val="7.2550965159982564E-2"/>
              <c:y val="9.7386254447334713E-3"/>
            </c:manualLayout>
          </c:layout>
          <c:overlay val="0"/>
          <c:spPr>
            <a:noFill/>
            <a:ln>
              <a:noFill/>
            </a:ln>
            <a:effectLst/>
          </c:spPr>
          <c:txPr>
            <a:bodyPr rot="0" spcFirstLastPara="1" vertOverflow="ellipsis" wrap="square" anchor="t" anchorCtr="0"/>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493096"/>
        <c:crosses val="autoZero"/>
        <c:crossBetween val="between"/>
      </c:valAx>
      <c:spPr>
        <a:noFill/>
        <a:ln>
          <a:noFill/>
        </a:ln>
        <a:effectLst/>
      </c:spPr>
    </c:plotArea>
    <c:legend>
      <c:legendPos val="tr"/>
      <c:layout>
        <c:manualLayout>
          <c:xMode val="edge"/>
          <c:yMode val="edge"/>
          <c:x val="0.67047082531758884"/>
          <c:y val="6.3024201660338286E-2"/>
          <c:w val="0.23380270589987681"/>
          <c:h val="0.1358594332334964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62065921303933"/>
          <c:y val="0.12316497663432346"/>
          <c:w val="0.85737383966498526"/>
          <c:h val="0.76186701864487294"/>
        </c:manualLayout>
      </c:layout>
      <c:lineChart>
        <c:grouping val="standard"/>
        <c:varyColors val="0"/>
        <c:ser>
          <c:idx val="0"/>
          <c:order val="0"/>
          <c:tx>
            <c:strRef>
              <c:f>Data!$C$2</c:f>
              <c:strCache>
                <c:ptCount val="1"/>
                <c:pt idx="0">
                  <c:v>Previously Published</c:v>
                </c:pt>
              </c:strCache>
            </c:strRef>
          </c:tx>
          <c:spPr>
            <a:ln w="28575" cap="rnd">
              <a:solidFill>
                <a:srgbClr val="00205B"/>
              </a:solidFill>
              <a:round/>
            </a:ln>
            <a:effectLst/>
          </c:spPr>
          <c:marker>
            <c:symbol val="none"/>
          </c:marker>
          <c:cat>
            <c:strRef>
              <c:f>Data!$B$3:$B$7</c:f>
              <c:strCache>
                <c:ptCount val="5"/>
                <c:pt idx="0">
                  <c:v>Jan-Mar 2020</c:v>
                </c:pt>
                <c:pt idx="1">
                  <c:v>Feb-Apr 2020</c:v>
                </c:pt>
                <c:pt idx="2">
                  <c:v>Mar-May 2020</c:v>
                </c:pt>
                <c:pt idx="3">
                  <c:v>Apr-Jun 2020</c:v>
                </c:pt>
                <c:pt idx="4">
                  <c:v>May-Jul 2020</c:v>
                </c:pt>
              </c:strCache>
            </c:strRef>
          </c:cat>
          <c:val>
            <c:numRef>
              <c:f>Data!$C$3:$C$7</c:f>
              <c:numCache>
                <c:formatCode>0.0</c:formatCode>
                <c:ptCount val="5"/>
                <c:pt idx="0">
                  <c:v>2.3645337576780516</c:v>
                </c:pt>
                <c:pt idx="1">
                  <c:v>2.2751462733125076</c:v>
                </c:pt>
                <c:pt idx="2">
                  <c:v>2.3514575246673255</c:v>
                </c:pt>
                <c:pt idx="3">
                  <c:v>2.4864407448636796</c:v>
                </c:pt>
                <c:pt idx="4">
                  <c:v>2.8684572901170826</c:v>
                </c:pt>
              </c:numCache>
            </c:numRef>
          </c:val>
          <c:smooth val="0"/>
        </c:ser>
        <c:ser>
          <c:idx val="1"/>
          <c:order val="1"/>
          <c:tx>
            <c:strRef>
              <c:f>Data!$D$2</c:f>
              <c:strCache>
                <c:ptCount val="1"/>
                <c:pt idx="0">
                  <c:v>Revised</c:v>
                </c:pt>
              </c:strCache>
            </c:strRef>
          </c:tx>
          <c:spPr>
            <a:ln w="28575" cap="rnd">
              <a:solidFill>
                <a:srgbClr val="CEDC00"/>
              </a:solidFill>
              <a:round/>
            </a:ln>
            <a:effectLst/>
          </c:spPr>
          <c:marker>
            <c:symbol val="none"/>
          </c:marker>
          <c:cat>
            <c:strRef>
              <c:f>Data!$B$3:$B$7</c:f>
              <c:strCache>
                <c:ptCount val="5"/>
                <c:pt idx="0">
                  <c:v>Jan-Mar 2020</c:v>
                </c:pt>
                <c:pt idx="1">
                  <c:v>Feb-Apr 2020</c:v>
                </c:pt>
                <c:pt idx="2">
                  <c:v>Mar-May 2020</c:v>
                </c:pt>
                <c:pt idx="3">
                  <c:v>Apr-Jun 2020</c:v>
                </c:pt>
                <c:pt idx="4">
                  <c:v>May-Jul 2020</c:v>
                </c:pt>
              </c:strCache>
            </c:strRef>
          </c:cat>
          <c:val>
            <c:numRef>
              <c:f>Data!$D$3:$D$7</c:f>
              <c:numCache>
                <c:formatCode>0.0</c:formatCode>
                <c:ptCount val="5"/>
                <c:pt idx="0">
                  <c:v>2.4006325902005461</c:v>
                </c:pt>
                <c:pt idx="1">
                  <c:v>2.339047748685708</c:v>
                </c:pt>
                <c:pt idx="2">
                  <c:v>2.4146266164794383</c:v>
                </c:pt>
                <c:pt idx="3">
                  <c:v>2.5441748249864515</c:v>
                </c:pt>
                <c:pt idx="4">
                  <c:v>2.9825499260232005</c:v>
                </c:pt>
              </c:numCache>
            </c:numRef>
          </c:val>
          <c:smooth val="0"/>
        </c:ser>
        <c:dLbls>
          <c:showLegendKey val="0"/>
          <c:showVal val="0"/>
          <c:showCatName val="0"/>
          <c:showSerName val="0"/>
          <c:showPercent val="0"/>
          <c:showBubbleSize val="0"/>
        </c:dLbls>
        <c:smooth val="0"/>
        <c:axId val="585497408"/>
        <c:axId val="582280400"/>
      </c:lineChart>
      <c:catAx>
        <c:axId val="5854974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280400"/>
        <c:crosses val="autoZero"/>
        <c:auto val="1"/>
        <c:lblAlgn val="ctr"/>
        <c:lblOffset val="100"/>
        <c:noMultiLvlLbl val="0"/>
      </c:catAx>
      <c:valAx>
        <c:axId val="582280400"/>
        <c:scaling>
          <c:orientation val="minMax"/>
          <c:max val="3.5"/>
          <c:min val="1.5"/>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Rate %</a:t>
                </a:r>
              </a:p>
            </c:rich>
          </c:tx>
          <c:layout>
            <c:manualLayout>
              <c:xMode val="edge"/>
              <c:yMode val="edge"/>
              <c:x val="7.3319954816472951E-2"/>
              <c:y val="3.7509726765986795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497408"/>
        <c:crosses val="autoZero"/>
        <c:crossBetween val="between"/>
        <c:majorUnit val="0.5"/>
      </c:valAx>
      <c:spPr>
        <a:noFill/>
        <a:ln>
          <a:noFill/>
        </a:ln>
        <a:effectLst/>
      </c:spPr>
    </c:plotArea>
    <c:legend>
      <c:legendPos val="r"/>
      <c:layout>
        <c:manualLayout>
          <c:xMode val="edge"/>
          <c:yMode val="edge"/>
          <c:x val="0.671528502447441"/>
          <c:y val="0.14389609794318736"/>
          <c:w val="0.22127233833027835"/>
          <c:h val="0.122795110862188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E1CE0-B146-4391-B006-5BF6561E0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4</Pages>
  <Words>483</Words>
  <Characters>3157</Characters>
  <Application>Microsoft Office Word</Application>
  <DocSecurity>0</DocSecurity>
  <Lines>157</Lines>
  <Paragraphs>80</Paragraphs>
  <ScaleCrop>false</ScaleCrop>
  <HeadingPairs>
    <vt:vector size="2" baseType="variant">
      <vt:variant>
        <vt:lpstr>Title</vt:lpstr>
      </vt:variant>
      <vt:variant>
        <vt:i4>1</vt:i4>
      </vt:variant>
    </vt:vector>
  </HeadingPairs>
  <TitlesOfParts>
    <vt:vector size="1" baseType="lpstr">
      <vt:lpstr>LFS Revision note October 2020</vt:lpstr>
    </vt:vector>
  </TitlesOfParts>
  <Company>NISRA</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LFS Revision note October 2020</dc:title>
  <dc:subject/>
  <dc:creator>Economic and labour market statistics branch</dc:creator>
  <cp:keywords/>
  <dc:description/>
  <cp:lastModifiedBy>Fyffe, Sarah</cp:lastModifiedBy>
  <cp:revision>172</cp:revision>
  <cp:lastPrinted>2019-06-14T12:44:00Z</cp:lastPrinted>
  <dcterms:created xsi:type="dcterms:W3CDTF">2020-09-05T21:28:00Z</dcterms:created>
  <dcterms:modified xsi:type="dcterms:W3CDTF">2020-10-12T17:45:00Z</dcterms:modified>
</cp:coreProperties>
</file>